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DB2B30" w:rsidRPr="001C052A" w14:paraId="2CEA8368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DF1DE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A37C2F1" w14:textId="1204B4EE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661872F" w:rsidR="00DB2B30" w:rsidRPr="001C052A" w:rsidRDefault="00E334A2" w:rsidP="00DB2B30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E334A2">
              <w:rPr>
                <w:rFonts w:ascii="PMingLiu" w:hAnsi="PMingLiu"/>
                <w:color w:val="000000"/>
              </w:rPr>
              <w:t>2205220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DB2B30" w:rsidRPr="001C052A" w:rsidRDefault="00DB2B30" w:rsidP="00DB2B30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DB2B30" w:rsidRPr="001C052A" w:rsidRDefault="00DB2B30" w:rsidP="00DB2B30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DB2B30" w:rsidRPr="00730AA7" w:rsidRDefault="00DB2B30" w:rsidP="00DB2B30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9614F0" w14:paraId="47029E08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49333" w14:textId="77777777" w:rsidR="009614F0" w:rsidRDefault="009614F0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B5FCB4B" w14:textId="77777777" w:rsidR="009614F0" w:rsidRPr="0074142F" w:rsidRDefault="009614F0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06C5D4" w14:textId="77777777" w:rsidR="009614F0" w:rsidRDefault="009614F0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FE017BA" w14:textId="77777777" w:rsidR="009614F0" w:rsidRDefault="009614F0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12FB1FE0" w14:textId="77777777" w:rsidR="009614F0" w:rsidRPr="00051F86" w:rsidRDefault="009614F0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6E35CB" w:rsidRPr="001C052A" w14:paraId="69F99CC7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7BE25C" w14:textId="599DDBC9" w:rsidR="006E35CB" w:rsidRPr="001C052A" w:rsidRDefault="006E35CB" w:rsidP="006E35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2A4DC96" w:rsidR="006E35CB" w:rsidRPr="001C052A" w:rsidRDefault="006E35CB" w:rsidP="006E35CB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 w:rsidRPr="008A5016">
              <w:rPr>
                <w:rFonts w:ascii="新細明體" w:hAnsi="新細明體" w:hint="eastAsia"/>
                <w:color w:val="000000"/>
              </w:rPr>
              <w:t>凝</w:t>
            </w:r>
            <w:r>
              <w:rPr>
                <w:rFonts w:ascii="新細明體" w:hAnsi="新細明體" w:hint="eastAsia"/>
                <w:color w:val="000000"/>
              </w:rPr>
              <w:t>態物理</w:t>
            </w:r>
          </w:p>
        </w:tc>
      </w:tr>
      <w:tr w:rsidR="006E35CB" w:rsidRPr="00B836C3" w14:paraId="30021486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05993F" w14:textId="77777777" w:rsidR="006E35CB" w:rsidRPr="001C052A" w:rsidRDefault="006E35CB" w:rsidP="006E35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41F8CB5D" w14:textId="29D4B697" w:rsidR="006E35CB" w:rsidRPr="001C052A" w:rsidRDefault="006E35CB" w:rsidP="006E35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11EC740" w:rsidR="006E35CB" w:rsidRPr="006028FD" w:rsidRDefault="006E35CB" w:rsidP="006E35CB">
            <w:pPr>
              <w:pStyle w:val="Web"/>
              <w:spacing w:before="0" w:beforeAutospacing="0"/>
              <w:ind w:firstLineChars="200" w:firstLine="480"/>
              <w:jc w:val="both"/>
            </w:pPr>
            <w:r w:rsidRPr="00EF26BC">
              <w:rPr>
                <w:color w:val="000000"/>
              </w:rPr>
              <w:t>Condensed Matter Physics</w:t>
            </w:r>
          </w:p>
        </w:tc>
      </w:tr>
      <w:tr w:rsidR="00DB2B30" w:rsidRPr="001C052A" w14:paraId="585712CF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6D9B3E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5F5ED79A" w14:textId="67E971F0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DA133F3" w:rsidR="00DB2B30" w:rsidRPr="001C052A" w:rsidRDefault="00DB2B30" w:rsidP="00DB2B3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9801FE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 w:rsidR="00D02D1D">
              <w:rPr>
                <w:rFonts w:ascii="PMingLiu" w:hAnsi="PMingLiu" w:hint="eastAsia"/>
                <w:color w:val="000000"/>
                <w:lang w:eastAsia="zh-TW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DB2B30" w:rsidRPr="001C052A" w14:paraId="3A7E5831" w14:textId="77777777" w:rsidTr="00AE7499">
              <w:trPr>
                <w:trHeight w:val="309"/>
              </w:trPr>
              <w:tc>
                <w:tcPr>
                  <w:tcW w:w="2058" w:type="dxa"/>
                </w:tcPr>
                <w:p w14:paraId="2D4D1C00" w14:textId="77777777" w:rsidR="00DB2B30" w:rsidRPr="001C052A" w:rsidRDefault="00DB2B30" w:rsidP="00DB2B30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02380757" w14:textId="77777777" w:rsidR="00DB2B30" w:rsidRPr="001C052A" w:rsidRDefault="00DB2B30" w:rsidP="00DB2B30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DB2B30" w:rsidRPr="001C052A" w:rsidRDefault="00DB2B30" w:rsidP="00DB2B30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310EB16" w:rsidR="00DB2B30" w:rsidRPr="001C052A" w:rsidRDefault="00DB2B30" w:rsidP="00DB2B30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DB2B30" w:rsidRPr="001C052A" w14:paraId="028A81B4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4EAEB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EDF3E65" w14:textId="7A74EDF8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DB2B30" w:rsidRPr="001C052A" w:rsidRDefault="00DB2B30" w:rsidP="00DB2B30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0ABDB" w14:textId="77777777" w:rsidR="00DB2B30" w:rsidRPr="00C659A2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0CDDFE7" w:rsidR="00DB2B30" w:rsidRPr="001B56F5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2ACEF18" w14:textId="699D9B71" w:rsidR="00DB2B30" w:rsidRPr="008768F8" w:rsidRDefault="00E334A2" w:rsidP="00DB2B30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t>□</w:t>
            </w:r>
            <w:r w:rsidR="00DB2B30"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="00DB2B30" w:rsidRPr="008768F8">
              <w:rPr>
                <w:rFonts w:asciiTheme="minorEastAsia" w:eastAsiaTheme="minorEastAsia" w:hAnsiTheme="minorEastAsia" w:hint="eastAsia"/>
              </w:rPr>
              <w:t>C</w:t>
            </w:r>
            <w:r w:rsidR="00DB2B30"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6903749C" w:rsidR="00DB2B30" w:rsidRPr="00730AA7" w:rsidRDefault="00DB2B30" w:rsidP="00DB2B30">
            <w:pPr>
              <w:spacing w:line="320" w:lineRule="exact"/>
              <w:ind w:leftChars="32" w:left="269" w:hangingChars="80" w:hanging="192"/>
              <w:rPr>
                <w:rFonts w:ascii="新細明體" w:hAnsi="新細明體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 w:rsidR="00E334A2" w:rsidRPr="008768F8">
              <w:rPr>
                <w:rFonts w:hint="eastAsia"/>
              </w:rPr>
              <w:t>■</w:t>
            </w:r>
            <w:r w:rsidRPr="008768F8">
              <w:t xml:space="preserve">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DB2B30" w:rsidRPr="001C052A" w14:paraId="3B83ECC7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A3090" w14:textId="77777777" w:rsidR="00DB2B30" w:rsidRPr="009A29DC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68603401" w14:textId="3786039E" w:rsidR="00DB2B30" w:rsidRPr="009A29DC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566F090" w:rsidR="00DB2B30" w:rsidRDefault="00E9176A" w:rsidP="00DB2B3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星期一</w:t>
            </w:r>
            <w:r w:rsidR="002A1C27">
              <w:rPr>
                <w:rFonts w:eastAsia="微軟正黑體" w:hint="eastAsia"/>
                <w:lang w:eastAsia="zh-TW"/>
              </w:rPr>
              <w:t>7</w:t>
            </w:r>
            <w:r w:rsidR="005C25D7">
              <w:rPr>
                <w:rFonts w:eastAsia="微軟正黑體" w:hint="eastAsia"/>
                <w:lang w:eastAsia="zh-TW"/>
              </w:rPr>
              <w:t>,</w:t>
            </w:r>
            <w:r w:rsidR="002A1C27">
              <w:rPr>
                <w:rFonts w:eastAsia="微軟正黑體" w:hint="eastAsia"/>
                <w:lang w:eastAsia="zh-TW"/>
              </w:rPr>
              <w:t>8</w:t>
            </w:r>
            <w:r w:rsidR="005C25D7">
              <w:rPr>
                <w:rFonts w:eastAsia="微軟正黑體" w:hint="eastAsia"/>
                <w:lang w:eastAsia="zh-TW"/>
              </w:rPr>
              <w:t>,</w:t>
            </w:r>
            <w:r w:rsidR="002A1C27">
              <w:rPr>
                <w:rFonts w:eastAsia="微軟正黑體"/>
                <w:lang w:eastAsia="zh-TW"/>
              </w:rPr>
              <w:t>9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6E07B94" w14:textId="77777777" w:rsidR="00DB2B30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7CF1C9C8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3880BC9" w:rsidR="00DB2B30" w:rsidRDefault="00E9176A" w:rsidP="00DB2B30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06</w:t>
            </w:r>
          </w:p>
        </w:tc>
      </w:tr>
      <w:tr w:rsidR="00DB2B30" w:rsidRPr="001C052A" w14:paraId="326474A0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458F41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4979B19" w14:textId="269575B3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4255ED6" w:rsidR="00DB2B30" w:rsidRPr="001C052A" w:rsidRDefault="00DB2B30" w:rsidP="00DB2B3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蔡炎熾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E7C3FBB" w14:textId="77777777" w:rsidR="00DB2B30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2FA5D847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6A42BF1" w:rsidR="00DB2B30" w:rsidRPr="001C052A" w:rsidRDefault="00E542BA" w:rsidP="00DB2B30">
            <w:pPr>
              <w:spacing w:line="320" w:lineRule="exact"/>
              <w:rPr>
                <w:rFonts w:eastAsia="微軟正黑體"/>
              </w:rPr>
            </w:pPr>
            <w:hyperlink r:id="rId8" w:tooltip="yctsai@ccu.edu.tw" w:history="1">
              <w:r w:rsidR="00DB2B30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yctsai@ccu.edu.tw</w:t>
              </w:r>
            </w:hyperlink>
          </w:p>
        </w:tc>
      </w:tr>
      <w:tr w:rsidR="00DB2B30" w:rsidRPr="001C052A" w14:paraId="52671300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119A3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F655247" w14:textId="46D1523D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DB2B30" w:rsidRPr="001C052A" w:rsidRDefault="00DB2B30" w:rsidP="00DB2B3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0771EB2" w14:textId="77777777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4E17772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DB2B30" w:rsidRPr="001C052A" w:rsidRDefault="00DB2B30" w:rsidP="00DB2B30">
            <w:pPr>
              <w:spacing w:line="320" w:lineRule="exact"/>
              <w:rPr>
                <w:rFonts w:eastAsia="微軟正黑體"/>
              </w:rPr>
            </w:pPr>
          </w:p>
        </w:tc>
      </w:tr>
      <w:tr w:rsidR="00DB2B30" w:rsidRPr="001C052A" w14:paraId="1855F7A7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4CC7B3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795FA31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DD7CB9E" w14:textId="1FABED50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93CEA6E" w:rsidR="00DB2B30" w:rsidRPr="001C052A" w:rsidRDefault="00DB2B30" w:rsidP="002A1C2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D02D1D" w:rsidRPr="001C052A" w14:paraId="2E121AC8" w14:textId="77777777" w:rsidTr="00DB2B30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BE2CB" w14:textId="7777777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139C12E9" w14:textId="3FF83939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D61BD5" w14:textId="77777777" w:rsidR="002A1C27" w:rsidRDefault="002A1C27" w:rsidP="002A1C27">
            <w:pPr>
              <w:tabs>
                <w:tab w:val="left" w:pos="1182"/>
              </w:tabs>
              <w:autoSpaceDE w:val="0"/>
              <w:autoSpaceDN w:val="0"/>
              <w:adjustRightInd w:val="0"/>
              <w:ind w:leftChars="0" w:left="0"/>
              <w:textAlignment w:val="bottom"/>
              <w:rPr>
                <w:rFonts w:ascii="細明體" w:eastAsia="細明體" w:hAnsi="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以非平衡物理中. 波兹曼傳輸方程與格林函數理論為基礎探討電,熱.</w:t>
            </w:r>
            <w:r>
              <w:rPr>
                <w:rFonts w:ascii="新細明體" w:hAnsi="新細明體"/>
                <w:color w:val="000000"/>
              </w:rPr>
              <w:t>,</w:t>
            </w:r>
            <w:r>
              <w:rPr>
                <w:rFonts w:ascii="新細明體" w:hAnsi="新細明體" w:hint="eastAsia"/>
                <w:color w:val="000000"/>
              </w:rPr>
              <w:t>自旋,傳輸現</w:t>
            </w:r>
            <w:r>
              <w:rPr>
                <w:rFonts w:ascii="細明體" w:eastAsia="細明體" w:hAnsi="細明體" w:hint="eastAsia"/>
                <w:color w:val="000000"/>
              </w:rPr>
              <w:t>象.系統包含一般固體電動力學.自旋霍耳效應在重金屬及拓撲絕縁體,</w:t>
            </w:r>
          </w:p>
          <w:p w14:paraId="414924B5" w14:textId="63F69E1B" w:rsidR="00D02D1D" w:rsidRPr="0038711E" w:rsidRDefault="002A1C27" w:rsidP="002A1C27">
            <w:pPr>
              <w:pStyle w:val="Web"/>
              <w:spacing w:before="0" w:beforeAutospacing="0" w:after="0" w:afterAutospacing="0"/>
            </w:pPr>
            <w:proofErr w:type="gramStart"/>
            <w:r>
              <w:rPr>
                <w:rFonts w:ascii="細明體" w:eastAsia="細明體" w:hAnsi="細明體" w:hint="eastAsia"/>
                <w:color w:val="000000"/>
              </w:rPr>
              <w:t>聲子在</w:t>
            </w:r>
            <w:proofErr w:type="gramEnd"/>
            <w:r>
              <w:rPr>
                <w:rFonts w:ascii="細明體" w:eastAsia="細明體" w:hAnsi="細明體" w:hint="eastAsia"/>
                <w:color w:val="000000"/>
              </w:rPr>
              <w:t>熱傳輸之效應.</w:t>
            </w:r>
          </w:p>
        </w:tc>
      </w:tr>
      <w:tr w:rsidR="00D02D1D" w:rsidRPr="001C052A" w14:paraId="4E1DA0BC" w14:textId="77777777" w:rsidTr="00DB2B30">
        <w:trPr>
          <w:trHeight w:val="84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81161" w14:textId="7777777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1A2FF8BB" w14:textId="207F8FA1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8FF240C" w:rsidR="00D02D1D" w:rsidRPr="00E7763E" w:rsidRDefault="002A1C27" w:rsidP="00D02D1D">
            <w:pPr>
              <w:pStyle w:val="Web"/>
              <w:spacing w:before="0" w:beforeAutospacing="0"/>
              <w:jc w:val="both"/>
            </w:pPr>
            <w:r>
              <w:rPr>
                <w:rFonts w:ascii="細明體" w:eastAsia="細明體" w:hAnsi="細明體" w:hint="eastAsia"/>
                <w:color w:val="000000"/>
              </w:rPr>
              <w:t>主要讓學生了觧多體物理技術應用在固態系統中電子與聲子,自旋流.等傳輸的現象.</w:t>
            </w:r>
          </w:p>
        </w:tc>
      </w:tr>
      <w:tr w:rsidR="00D02D1D" w:rsidRPr="001C052A" w14:paraId="07DFDDA4" w14:textId="77777777" w:rsidTr="00DB2B30">
        <w:trPr>
          <w:trHeight w:val="135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5E1B6" w14:textId="7777777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052845F1" w14:textId="54A0F53B" w:rsidR="00D02D1D" w:rsidRPr="001C052A" w:rsidRDefault="00D02D1D" w:rsidP="00D02D1D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821124" w14:textId="736E9F1C" w:rsidR="00DB73CA" w:rsidRDefault="00DB73CA" w:rsidP="00DB73CA">
            <w:pPr>
              <w:widowControl w:val="0"/>
              <w:numPr>
                <w:ilvl w:val="0"/>
                <w:numId w:val="28"/>
              </w:numPr>
              <w:spacing w:before="0" w:beforeAutospacing="0"/>
              <w:ind w:leftChars="0" w:left="682"/>
              <w:jc w:val="left"/>
              <w:rPr>
                <w:rFonts w:ascii="新細明體" w:hAnsi="新細明體" w:cs="新細明體"/>
                <w:color w:val="000000"/>
              </w:rPr>
            </w:pPr>
            <w:r w:rsidRPr="00DB73CA">
              <w:rPr>
                <w:szCs w:val="24"/>
              </w:rPr>
              <w:t>Fundamentals of Many-body Physics,</w:t>
            </w:r>
            <w:r>
              <w:rPr>
                <w:szCs w:val="24"/>
              </w:rPr>
              <w:t xml:space="preserve"> </w:t>
            </w:r>
            <w:r w:rsidRPr="00DB73CA">
              <w:rPr>
                <w:szCs w:val="24"/>
              </w:rPr>
              <w:t>Principles and</w:t>
            </w:r>
            <w:r w:rsidRPr="00DB73CA">
              <w:rPr>
                <w:rFonts w:hint="eastAsia"/>
                <w:szCs w:val="24"/>
                <w:lang w:eastAsia="zh-TW"/>
              </w:rPr>
              <w:t xml:space="preserve"> </w:t>
            </w:r>
            <w:r w:rsidRPr="00DB73CA">
              <w:rPr>
                <w:szCs w:val="24"/>
              </w:rPr>
              <w:t xml:space="preserve">Methods, (Wolfgang </w:t>
            </w:r>
            <w:proofErr w:type="spellStart"/>
            <w:proofErr w:type="gramStart"/>
            <w:r w:rsidRPr="00DB73CA">
              <w:rPr>
                <w:szCs w:val="24"/>
              </w:rPr>
              <w:t>Nolting</w:t>
            </w:r>
            <w:proofErr w:type="spellEnd"/>
            <w:r w:rsidRPr="00DB73CA">
              <w:rPr>
                <w:szCs w:val="24"/>
              </w:rPr>
              <w:t xml:space="preserve"> )</w:t>
            </w:r>
            <w:proofErr w:type="gramEnd"/>
          </w:p>
          <w:p w14:paraId="51A06479" w14:textId="7CEC9CCD" w:rsidR="00DB73CA" w:rsidRDefault="00DB73CA" w:rsidP="00DB73CA">
            <w:pPr>
              <w:widowControl w:val="0"/>
              <w:numPr>
                <w:ilvl w:val="0"/>
                <w:numId w:val="28"/>
              </w:numPr>
              <w:spacing w:before="0" w:beforeAutospacing="0"/>
              <w:ind w:leftChars="0" w:left="682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Physical Kinetics, Course of Theoretical Physics Volume 10. Landau and </w:t>
            </w:r>
            <w:proofErr w:type="spellStart"/>
            <w:r>
              <w:rPr>
                <w:rFonts w:ascii="新細明體" w:hAnsi="新細明體" w:cs="新細明體"/>
                <w:color w:val="000000"/>
              </w:rPr>
              <w:t>Lifshitz</w:t>
            </w:r>
            <w:proofErr w:type="spellEnd"/>
          </w:p>
          <w:p w14:paraId="5ED89341" w14:textId="3E348F9B" w:rsidR="00DB73CA" w:rsidRDefault="00DB73CA" w:rsidP="00DB73CA">
            <w:pPr>
              <w:widowControl w:val="0"/>
              <w:numPr>
                <w:ilvl w:val="0"/>
                <w:numId w:val="28"/>
              </w:numPr>
              <w:spacing w:before="0" w:beforeAutospacing="0"/>
              <w:ind w:leftChars="0" w:left="682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Electrodynamics of solids, M. Dressel and G. Gruner.</w:t>
            </w:r>
          </w:p>
          <w:p w14:paraId="35960426" w14:textId="77777777" w:rsidR="00DB73CA" w:rsidRDefault="00DB73CA" w:rsidP="00DB73CA">
            <w:pPr>
              <w:widowControl w:val="0"/>
              <w:numPr>
                <w:ilvl w:val="0"/>
                <w:numId w:val="28"/>
              </w:numPr>
              <w:spacing w:before="0" w:beforeAutospacing="0"/>
              <w:ind w:leftChars="0" w:left="682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 xml:space="preserve">固體量子場論, 史俊杰 刘自信 刘玉芳, 科學出版社. (中文簡體) </w:t>
            </w:r>
          </w:p>
          <w:p w14:paraId="0777158A" w14:textId="74FA6747" w:rsidR="00DB73CA" w:rsidRPr="00DB73CA" w:rsidRDefault="00DB73CA" w:rsidP="00DB73CA">
            <w:pPr>
              <w:widowControl w:val="0"/>
              <w:numPr>
                <w:ilvl w:val="0"/>
                <w:numId w:val="28"/>
              </w:numPr>
              <w:spacing w:before="0" w:beforeAutospacing="0"/>
              <w:ind w:leftChars="0" w:left="682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Non</w:t>
            </w:r>
            <w:r>
              <w:rPr>
                <w:rFonts w:ascii="新細明體" w:hAnsi="新細明體" w:cs="新細明體"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t>equilibrium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</w:rPr>
              <w:t xml:space="preserve">Many-Body Theory of Quantum Systems G. </w:t>
            </w:r>
            <w:proofErr w:type="spellStart"/>
            <w:r>
              <w:rPr>
                <w:rFonts w:ascii="新細明體" w:hAnsi="新細明體" w:cs="新細明體"/>
                <w:color w:val="000000"/>
              </w:rPr>
              <w:t>Stefanucci</w:t>
            </w:r>
            <w:proofErr w:type="spellEnd"/>
            <w:r>
              <w:rPr>
                <w:rFonts w:ascii="新細明體" w:hAnsi="新細明體" w:cs="新細明體"/>
                <w:color w:val="000000"/>
              </w:rPr>
              <w:t xml:space="preserve"> and R. Leeuwen</w:t>
            </w:r>
          </w:p>
          <w:p w14:paraId="60AA7F3B" w14:textId="3BD80929" w:rsidR="00D02D1D" w:rsidRPr="0038711E" w:rsidRDefault="002A1C27" w:rsidP="002A1C27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cs="新細明體" w:hint="eastAsia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D02D1D" w:rsidRPr="001C052A" w14:paraId="68A248FE" w14:textId="77777777" w:rsidTr="00DB2B30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8B720" w14:textId="7777777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C862CC0" w:rsidR="00D02D1D" w:rsidRPr="001C052A" w:rsidRDefault="00D02D1D" w:rsidP="00D02D1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D8AFB4" w14:textId="77777777" w:rsidR="00D02D1D" w:rsidRDefault="00D02D1D" w:rsidP="00D02D1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6ED94329" w:rsidR="00D02D1D" w:rsidRPr="00730AA7" w:rsidRDefault="00D02D1D" w:rsidP="00D02D1D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D02D1D" w:rsidRPr="001C052A" w14:paraId="285EAB32" w14:textId="77777777" w:rsidTr="00DB2B30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39B52" w14:textId="7777777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6F6A80F0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4ACB85" w14:textId="77777777" w:rsidR="00D02D1D" w:rsidRPr="00730AA7" w:rsidRDefault="00D02D1D" w:rsidP="00D02D1D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76E7399" w:rsidR="00D02D1D" w:rsidRPr="00730AA7" w:rsidRDefault="00D02D1D" w:rsidP="00D02D1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D02D1D" w:rsidRPr="001C052A" w14:paraId="7A7DFB0B" w14:textId="77777777" w:rsidTr="00DB2B30">
        <w:trPr>
          <w:trHeight w:val="202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16B79" w14:textId="7777777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974F758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33DD1" w14:textId="30E02DD3" w:rsidR="00D02D1D" w:rsidRPr="00730AA7" w:rsidRDefault="002A1C27" w:rsidP="00D02D1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D02D1D"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 </w:t>
            </w:r>
            <w:r w:rsidR="00D02D1D"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D02D1D"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D02D1D" w:rsidRPr="00730AA7">
              <w:rPr>
                <w:rFonts w:ascii="新細明體" w:hAnsi="新細明體"/>
              </w:rPr>
              <w:t>期末考</w:t>
            </w:r>
            <w:r w:rsidR="00D02D1D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    </w:t>
            </w:r>
            <w:r w:rsidR="00D02D1D">
              <w:rPr>
                <w:rFonts w:ascii="新細明體" w:hAnsi="新細明體"/>
              </w:rPr>
              <w:t xml:space="preserve"> </w:t>
            </w:r>
            <w:r w:rsidR="00D02D1D" w:rsidRPr="00730AA7">
              <w:rPr>
                <w:rFonts w:ascii="新細明體" w:hAnsi="新細明體"/>
              </w:rPr>
              <w:t>□</w:t>
            </w:r>
            <w:r w:rsidR="00D02D1D">
              <w:rPr>
                <w:rFonts w:ascii="新細明體" w:hAnsi="新細明體" w:hint="eastAsia"/>
              </w:rPr>
              <w:t>隨堂測驗</w:t>
            </w:r>
            <w:r w:rsidR="00D02D1D" w:rsidRPr="00730AA7">
              <w:rPr>
                <w:rFonts w:ascii="新細明體" w:hAnsi="新細明體"/>
              </w:rPr>
              <w:t xml:space="preserve">   </w:t>
            </w:r>
            <w:r w:rsidR="00D02D1D">
              <w:rPr>
                <w:rFonts w:ascii="新細明體" w:hAnsi="新細明體"/>
              </w:rPr>
              <w:t xml:space="preserve">     </w:t>
            </w:r>
            <w:r w:rsidR="00D02D1D" w:rsidRPr="00730AA7">
              <w:rPr>
                <w:rFonts w:ascii="新細明體" w:hAnsi="新細明體"/>
              </w:rPr>
              <w:t>□</w:t>
            </w:r>
            <w:r w:rsidR="00D02D1D">
              <w:rPr>
                <w:rFonts w:ascii="新細明體" w:hAnsi="新細明體" w:hint="eastAsia"/>
              </w:rPr>
              <w:t>隨堂作業</w:t>
            </w:r>
          </w:p>
          <w:p w14:paraId="4E175A75" w14:textId="190BBFAE" w:rsidR="00D02D1D" w:rsidRDefault="00D02D1D" w:rsidP="00D02D1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2A1C27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 w:rsidR="002A1C27">
              <w:rPr>
                <w:rFonts w:ascii="新細明體" w:hAnsi="新細明體" w:hint="eastAsia"/>
              </w:rPr>
              <w:t>或筆記</w:t>
            </w:r>
            <w:r w:rsidR="002A1C27">
              <w:rPr>
                <w:rFonts w:ascii="新細明體" w:hAnsi="新細明體" w:hint="eastAsia"/>
                <w:lang w:eastAsia="zh-TW"/>
              </w:rPr>
              <w:t>7</w:t>
            </w:r>
            <w:r w:rsidR="002A1C27">
              <w:rPr>
                <w:rFonts w:ascii="新細明體" w:hAnsi="新細明體"/>
                <w:lang w:eastAsia="zh-TW"/>
              </w:rPr>
              <w:t>0%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934D4C3" w:rsidR="00D02D1D" w:rsidRPr="006F176E" w:rsidRDefault="00D02D1D" w:rsidP="00D02D1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="002A1C27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2A1C27">
              <w:rPr>
                <w:rFonts w:ascii="新細明體" w:hAnsi="新細明體" w:hint="eastAsia"/>
                <w:lang w:eastAsia="zh-TW"/>
              </w:rPr>
              <w:t>:</w:t>
            </w:r>
            <w:r w:rsidR="002A1C27">
              <w:rPr>
                <w:rFonts w:ascii="新細明體" w:hAnsi="新細明體"/>
                <w:lang w:eastAsia="zh-TW"/>
              </w:rPr>
              <w:t xml:space="preserve">10%, </w:t>
            </w:r>
            <w:r>
              <w:rPr>
                <w:rFonts w:ascii="PMingLiu" w:hAnsi="PMingLiu"/>
                <w:color w:val="000000"/>
              </w:rPr>
              <w:t> </w:t>
            </w:r>
            <w:r w:rsidR="002A1C27" w:rsidRPr="00494798">
              <w:rPr>
                <w:rFonts w:ascii="新細明體" w:hAnsi="新細明體" w:cs="新細明體"/>
                <w:color w:val="000000"/>
              </w:rPr>
              <w:t>上課點名</w:t>
            </w:r>
            <w:r w:rsidR="002A1C27">
              <w:rPr>
                <w:rFonts w:ascii="新細明體" w:hAnsi="新細明體" w:cs="新細明體"/>
                <w:color w:val="000000"/>
              </w:rPr>
              <w:t>20</w:t>
            </w:r>
            <w:r w:rsidR="002A1C27" w:rsidRPr="00494798">
              <w:rPr>
                <w:rFonts w:ascii="新細明體" w:hAnsi="新細明體" w:cs="新細明體"/>
                <w:color w:val="000000"/>
              </w:rPr>
              <w:t>%</w:t>
            </w:r>
          </w:p>
        </w:tc>
      </w:tr>
      <w:tr w:rsidR="00D02D1D" w:rsidRPr="001C052A" w14:paraId="4D1A228C" w14:textId="77777777" w:rsidTr="00DB2B30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1C8B64" w14:textId="7777777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3F1C3ED7" w:rsidR="00D02D1D" w:rsidRPr="001C052A" w:rsidRDefault="00D02D1D" w:rsidP="00D02D1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F0ED2EA" w:rsidR="00D02D1D" w:rsidRPr="00730AA7" w:rsidRDefault="00D02D1D" w:rsidP="00D02D1D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DB2B30" w:rsidRPr="00251E57" w14:paraId="7E4E4848" w14:textId="77777777" w:rsidTr="00AE7499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3D0F71" w14:textId="77777777" w:rsidR="00DB2B30" w:rsidRPr="001C052A" w:rsidRDefault="00DB2B30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A863A2A" w14:textId="77777777" w:rsidR="00DB2B30" w:rsidRPr="001C052A" w:rsidRDefault="00DB2B30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724E7A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E396367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0AA75265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5010965A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764D43D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622EDDF5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B05E9E1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6CEA2976" w14:textId="77777777" w:rsidR="00DB2B30" w:rsidRPr="00730AA7" w:rsidRDefault="00DB2B30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6E459411" w14:textId="77777777" w:rsidR="00DB2B30" w:rsidRPr="001C052A" w:rsidRDefault="00DB2B30" w:rsidP="00AE7499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DB2B30" w:rsidRPr="001C052A" w14:paraId="324CD86F" w14:textId="77777777" w:rsidTr="00DB2B30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EE6EB8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E1A52E1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2EA2C0A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386CA3C" w:rsidR="00DB2B30" w:rsidRPr="007311F5" w:rsidRDefault="00DB2B30" w:rsidP="00DB2B30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6EE4758" w14:textId="77777777" w:rsidR="00D90C40" w:rsidRPr="001C052A" w:rsidRDefault="00D90C40" w:rsidP="00D90C4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0E33D4E3" w:rsidR="002023EC" w:rsidRPr="001C052A" w:rsidRDefault="00D90C40" w:rsidP="00D90C4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D02D1D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14D7C94" w:rsidR="00D02D1D" w:rsidRPr="005A2D00" w:rsidRDefault="00D02D1D" w:rsidP="005A2D00">
            <w:pPr>
              <w:ind w:leftChars="0" w:left="0"/>
              <w:rPr>
                <w:rFonts w:ascii="新細明體" w:hAnsi="新細明體" w:cs="新細明體"/>
                <w:color w:val="000000"/>
              </w:rPr>
            </w:pPr>
            <w:r>
              <w:rPr>
                <w:rFonts w:eastAsia="微軟正黑體"/>
              </w:rPr>
              <w:t>Week 1</w:t>
            </w:r>
            <w:r w:rsidR="005A2D00">
              <w:rPr>
                <w:rFonts w:eastAsia="微軟正黑體"/>
              </w:rPr>
              <w:t xml:space="preserve"> </w:t>
            </w:r>
            <w:r w:rsidR="005A2D00">
              <w:rPr>
                <w:rFonts w:ascii="新細明體" w:hAnsi="新細明體" w:cs="新細明體"/>
                <w:color w:val="000000"/>
              </w:rPr>
              <w:t xml:space="preserve">The basics of the Boltzmann equations </w:t>
            </w:r>
            <w:r w:rsidR="005A2D00">
              <w:rPr>
                <w:rFonts w:ascii="新細明體" w:hAnsi="新細明體" w:cs="新細明體" w:hint="eastAsia"/>
                <w:color w:val="000000"/>
              </w:rPr>
              <w:t>(a)</w:t>
            </w:r>
            <w:r w:rsidR="005A2D00">
              <w:rPr>
                <w:rFonts w:ascii="新細明體" w:hAnsi="新細明體" w:cs="新細明體"/>
                <w:color w:val="000000"/>
              </w:rPr>
              <w:t xml:space="preserve"> The Statistical description of dilute classical gases (b) Evolution of the distribution functions(c) The Boltzmann equations, The H theorem (d) Global and local equilibrium(e) The relaxation time approximation (f) Electrical Conductivity and Diffusion coefficients</w:t>
            </w:r>
          </w:p>
        </w:tc>
      </w:tr>
      <w:tr w:rsidR="00D02D1D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4B0F3D6" w:rsidR="00D02D1D" w:rsidRPr="00A17751" w:rsidRDefault="00D02D1D" w:rsidP="00D02D1D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5A2D00">
              <w:rPr>
                <w:rFonts w:eastAsia="微軟正黑體"/>
              </w:rPr>
              <w:t xml:space="preserve"> </w:t>
            </w:r>
            <w:r w:rsidR="005A2D00">
              <w:rPr>
                <w:color w:val="000000"/>
              </w:rPr>
              <w:t xml:space="preserve">The basics of the Boltzmann equations </w:t>
            </w:r>
            <w:r w:rsidR="005A2D00">
              <w:rPr>
                <w:rFonts w:hint="eastAsia"/>
                <w:color w:val="000000"/>
              </w:rPr>
              <w:t>(a)</w:t>
            </w:r>
            <w:r w:rsidR="005A2D00">
              <w:rPr>
                <w:color w:val="000000"/>
              </w:rPr>
              <w:t xml:space="preserve"> The Statistical description of dilute classical gases (b) Evolution of the distribution functions(c) The Boltzmann equations, The H theorem (d) Global and local equilibrium(e) The relaxation time approximation (f) Electrical Conductivity and Diffusion coefficients</w:t>
            </w:r>
          </w:p>
        </w:tc>
      </w:tr>
      <w:tr w:rsidR="00D02D1D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6295C03" w:rsidR="00D02D1D" w:rsidRPr="001C052A" w:rsidRDefault="00D02D1D" w:rsidP="00D02D1D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5A2D00">
              <w:rPr>
                <w:rFonts w:eastAsia="微軟正黑體"/>
              </w:rPr>
              <w:t xml:space="preserve"> </w:t>
            </w:r>
            <w:r w:rsidR="005A2D00">
              <w:rPr>
                <w:rFonts w:ascii="新細明體" w:hAnsi="新細明體" w:cs="新細明體"/>
                <w:color w:val="000000"/>
              </w:rPr>
              <w:t xml:space="preserve">The basics of the Boltzmann equations </w:t>
            </w:r>
            <w:r w:rsidR="005A2D00">
              <w:rPr>
                <w:rFonts w:ascii="新細明體" w:hAnsi="新細明體" w:cs="新細明體" w:hint="eastAsia"/>
                <w:color w:val="000000"/>
              </w:rPr>
              <w:t>(a)</w:t>
            </w:r>
            <w:r w:rsidR="005A2D00">
              <w:rPr>
                <w:rFonts w:ascii="新細明體" w:hAnsi="新細明體" w:cs="新細明體"/>
                <w:color w:val="000000"/>
              </w:rPr>
              <w:t xml:space="preserve"> The Statistical description of dilute classical gases (b) Evolution of the distribution functions(c) The Boltzmann equations, The H theorem (d) Global and local equilibrium(e) The relaxation time approximation (f) Electrical Conductivity and Diffusion coefficients</w:t>
            </w:r>
          </w:p>
        </w:tc>
      </w:tr>
      <w:tr w:rsidR="00D02D1D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55B3253" w:rsidR="00D02D1D" w:rsidRPr="001C052A" w:rsidRDefault="00D02D1D" w:rsidP="00D02D1D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4</w:t>
            </w:r>
            <w:r w:rsidR="005A2D00">
              <w:rPr>
                <w:rFonts w:eastAsia="微軟正黑體"/>
              </w:rPr>
              <w:t xml:space="preserve"> </w:t>
            </w:r>
            <w:r w:rsidR="005A2D00">
              <w:rPr>
                <w:rFonts w:ascii="新細明體" w:hAnsi="新細明體" w:cs="新細明體"/>
                <w:color w:val="000000"/>
              </w:rPr>
              <w:t xml:space="preserve">The basics of the Boltzmann equations </w:t>
            </w:r>
            <w:r w:rsidR="005A2D00">
              <w:rPr>
                <w:rFonts w:ascii="新細明體" w:hAnsi="新細明體" w:cs="新細明體" w:hint="eastAsia"/>
                <w:color w:val="000000"/>
              </w:rPr>
              <w:t>(a)</w:t>
            </w:r>
            <w:r w:rsidR="005A2D00">
              <w:rPr>
                <w:rFonts w:ascii="新細明體" w:hAnsi="新細明體" w:cs="新細明體"/>
                <w:color w:val="000000"/>
              </w:rPr>
              <w:t xml:space="preserve"> The Statistical description of dilute classical gases (b) Evolution of the distribution functions(c) The Boltzmann equations, The H theorem (d) Global and local equilibrium(e) The relaxation time approximation (f) Electrical Conductivity and Diffusion coefficients</w:t>
            </w:r>
          </w:p>
        </w:tc>
      </w:tr>
      <w:tr w:rsidR="00D02D1D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5951198" w:rsidR="00D02D1D" w:rsidRPr="001C052A" w:rsidRDefault="00D02D1D" w:rsidP="00D02D1D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5A2D00" w:rsidRPr="008F52F7">
              <w:rPr>
                <w:szCs w:val="24"/>
              </w:rPr>
              <w:t xml:space="preserve"> Fundamentals of Many-body Physics (partially in Chapter 1-</w:t>
            </w:r>
            <w:proofErr w:type="gramStart"/>
            <w:r w:rsidR="005A2D00" w:rsidRPr="008F52F7">
              <w:rPr>
                <w:szCs w:val="24"/>
              </w:rPr>
              <w:t>5)(</w:t>
            </w:r>
            <w:proofErr w:type="gramEnd"/>
            <w:r w:rsidR="005A2D00" w:rsidRPr="008F52F7">
              <w:rPr>
                <w:szCs w:val="24"/>
              </w:rPr>
              <w:t>a): Second Quantization</w:t>
            </w:r>
            <w:r w:rsidR="005A2D00" w:rsidRPr="008F52F7">
              <w:rPr>
                <w:rFonts w:hint="eastAsia"/>
                <w:szCs w:val="24"/>
              </w:rPr>
              <w:t xml:space="preserve"> (b)</w:t>
            </w:r>
            <w:r w:rsidR="005A2D00" w:rsidRPr="008F52F7">
              <w:rPr>
                <w:szCs w:val="24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6C157C8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801B" w14:textId="7897C2F7" w:rsidR="005A2D00" w:rsidRDefault="005A2D00" w:rsidP="005A2D00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Pr="008F52F7">
              <w:rPr>
                <w:szCs w:val="24"/>
              </w:rPr>
              <w:t xml:space="preserve"> Fundamentals of Many-body Physics (partially in Chapter 1-</w:t>
            </w:r>
            <w:proofErr w:type="gramStart"/>
            <w:r w:rsidRPr="008F52F7">
              <w:rPr>
                <w:szCs w:val="24"/>
              </w:rPr>
              <w:t>5)(</w:t>
            </w:r>
            <w:proofErr w:type="gramEnd"/>
            <w:r w:rsidRPr="008F52F7">
              <w:rPr>
                <w:szCs w:val="24"/>
              </w:rPr>
              <w:t>a): Second Quantization</w:t>
            </w:r>
            <w:r w:rsidRPr="008F52F7">
              <w:rPr>
                <w:rFonts w:hint="eastAsia"/>
                <w:szCs w:val="24"/>
              </w:rPr>
              <w:t xml:space="preserve"> (b)</w:t>
            </w:r>
            <w:r w:rsidRPr="008F52F7">
              <w:rPr>
                <w:szCs w:val="24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107DC24" w:rsidR="005A2D00" w:rsidRPr="001C052A" w:rsidRDefault="005A2D00" w:rsidP="005A2D00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Pr="008F52F7">
              <w:rPr>
                <w:szCs w:val="24"/>
              </w:rPr>
              <w:t xml:space="preserve"> Fundamentals of Many-body Physics (partially in Chapter 1-</w:t>
            </w:r>
            <w:proofErr w:type="gramStart"/>
            <w:r w:rsidRPr="008F52F7">
              <w:rPr>
                <w:szCs w:val="24"/>
              </w:rPr>
              <w:t>5)(</w:t>
            </w:r>
            <w:proofErr w:type="gramEnd"/>
            <w:r w:rsidRPr="008F52F7">
              <w:rPr>
                <w:szCs w:val="24"/>
              </w:rPr>
              <w:t>a): Second Quantization</w:t>
            </w:r>
            <w:r w:rsidRPr="008F52F7">
              <w:rPr>
                <w:rFonts w:hint="eastAsia"/>
                <w:szCs w:val="24"/>
              </w:rPr>
              <w:t xml:space="preserve"> (b)</w:t>
            </w:r>
            <w:r w:rsidRPr="008F52F7">
              <w:rPr>
                <w:szCs w:val="24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DAD5711" w:rsidR="005A2D00" w:rsidRPr="0016398C" w:rsidRDefault="005A2D00" w:rsidP="005A2D00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8</w:t>
            </w:r>
            <w:r w:rsidRPr="008F52F7">
              <w:t xml:space="preserve"> </w:t>
            </w:r>
            <w:r w:rsidRPr="008F52F7">
              <w:rPr>
                <w:rFonts w:asciiTheme="minorEastAsia" w:eastAsiaTheme="minorEastAsia" w:hAnsiTheme="minorEastAsia"/>
              </w:rPr>
              <w:t>Fundamentals of Many-body Physics (partially in Chapter 1-</w:t>
            </w:r>
            <w:proofErr w:type="gramStart"/>
            <w:r w:rsidRPr="008F52F7">
              <w:rPr>
                <w:rFonts w:asciiTheme="minorEastAsia" w:eastAsiaTheme="minorEastAsia" w:hAnsiTheme="minorEastAsia"/>
              </w:rPr>
              <w:t>5)(</w:t>
            </w:r>
            <w:proofErr w:type="gramEnd"/>
            <w:r w:rsidRPr="008F52F7">
              <w:rPr>
                <w:rFonts w:asciiTheme="minorEastAsia" w:eastAsiaTheme="minorEastAsia" w:hAnsiTheme="minorEastAsia"/>
              </w:rPr>
              <w:t>a): Second Quantization</w:t>
            </w:r>
            <w:r w:rsidRPr="008F52F7">
              <w:rPr>
                <w:rFonts w:asciiTheme="minorEastAsia" w:eastAsiaTheme="minorEastAsia" w:hAnsiTheme="minorEastAsia" w:hint="eastAsia"/>
              </w:rPr>
              <w:t xml:space="preserve"> (b)</w:t>
            </w:r>
            <w:r w:rsidRPr="008F52F7">
              <w:rPr>
                <w:rFonts w:asciiTheme="minorEastAsia" w:eastAsiaTheme="minorEastAsia" w:hAnsiTheme="minorEastAsia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F6430EB" w:rsidR="005A2D00" w:rsidRPr="0016398C" w:rsidRDefault="005A2D00" w:rsidP="005A2D00">
            <w:pPr>
              <w:widowControl w:val="0"/>
              <w:snapToGrid w:val="0"/>
              <w:spacing w:line="0" w:lineRule="atLeas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9</w:t>
            </w:r>
            <w:r w:rsidRPr="008F52F7">
              <w:rPr>
                <w:szCs w:val="24"/>
              </w:rPr>
              <w:t xml:space="preserve"> Fundamentals of Many-body Physics (partially in Chapter 1-</w:t>
            </w:r>
            <w:proofErr w:type="gramStart"/>
            <w:r w:rsidRPr="008F52F7">
              <w:rPr>
                <w:szCs w:val="24"/>
              </w:rPr>
              <w:t>5)(</w:t>
            </w:r>
            <w:proofErr w:type="gramEnd"/>
            <w:r w:rsidRPr="008F52F7">
              <w:rPr>
                <w:szCs w:val="24"/>
              </w:rPr>
              <w:t>a): Second Quantization</w:t>
            </w:r>
            <w:r w:rsidRPr="008F52F7">
              <w:rPr>
                <w:rFonts w:hint="eastAsia"/>
                <w:szCs w:val="24"/>
              </w:rPr>
              <w:t xml:space="preserve"> (b)</w:t>
            </w:r>
            <w:r w:rsidRPr="008F52F7">
              <w:rPr>
                <w:szCs w:val="24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0862415" w:rsidR="005A2D00" w:rsidRPr="0048423F" w:rsidRDefault="005A2D00" w:rsidP="005A2D00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Pr="008F52F7">
              <w:rPr>
                <w:szCs w:val="24"/>
              </w:rPr>
              <w:t xml:space="preserve"> Fundamentals of Many-body Physics (partially in Chapter 1-</w:t>
            </w:r>
            <w:proofErr w:type="gramStart"/>
            <w:r w:rsidRPr="008F52F7">
              <w:rPr>
                <w:szCs w:val="24"/>
              </w:rPr>
              <w:t>5)(</w:t>
            </w:r>
            <w:proofErr w:type="gramEnd"/>
            <w:r w:rsidRPr="008F52F7">
              <w:rPr>
                <w:szCs w:val="24"/>
              </w:rPr>
              <w:t>a): Second Quantization</w:t>
            </w:r>
            <w:r w:rsidRPr="008F52F7">
              <w:rPr>
                <w:rFonts w:hint="eastAsia"/>
                <w:szCs w:val="24"/>
              </w:rPr>
              <w:t xml:space="preserve"> (b)</w:t>
            </w:r>
            <w:r w:rsidRPr="008F52F7">
              <w:rPr>
                <w:szCs w:val="24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DF97620" w:rsidR="005A2D00" w:rsidRPr="0016398C" w:rsidRDefault="005A2D00" w:rsidP="005A2D00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11</w:t>
            </w:r>
            <w:r w:rsidRPr="008F52F7">
              <w:rPr>
                <w:rFonts w:asciiTheme="minorEastAsia" w:eastAsiaTheme="minorEastAsia" w:hAnsiTheme="minorEastAsia"/>
              </w:rPr>
              <w:t xml:space="preserve"> Fundamentals of Many-body Physics (partially in Chapter 1-</w:t>
            </w:r>
            <w:proofErr w:type="gramStart"/>
            <w:r w:rsidRPr="008F52F7">
              <w:rPr>
                <w:rFonts w:asciiTheme="minorEastAsia" w:eastAsiaTheme="minorEastAsia" w:hAnsiTheme="minorEastAsia"/>
              </w:rPr>
              <w:t>5)(</w:t>
            </w:r>
            <w:proofErr w:type="gramEnd"/>
            <w:r w:rsidRPr="008F52F7">
              <w:rPr>
                <w:rFonts w:asciiTheme="minorEastAsia" w:eastAsiaTheme="minorEastAsia" w:hAnsiTheme="minorEastAsia"/>
              </w:rPr>
              <w:t>a): Second Quantization</w:t>
            </w:r>
            <w:r w:rsidRPr="008F52F7">
              <w:rPr>
                <w:rFonts w:asciiTheme="minorEastAsia" w:eastAsiaTheme="minorEastAsia" w:hAnsiTheme="minorEastAsia" w:hint="eastAsia"/>
              </w:rPr>
              <w:t xml:space="preserve"> (b)</w:t>
            </w:r>
            <w:r w:rsidRPr="008F52F7">
              <w:rPr>
                <w:rFonts w:asciiTheme="minorEastAsia" w:eastAsiaTheme="minorEastAsia" w:hAnsiTheme="minorEastAsia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4C6FB0B1" w14:textId="77777777" w:rsidTr="0063755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38CB" w14:textId="19E23F83" w:rsidR="005A2D00" w:rsidRPr="0016398C" w:rsidRDefault="005A2D00" w:rsidP="00637555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12</w:t>
            </w:r>
            <w:r w:rsidRPr="008F52F7">
              <w:rPr>
                <w:rFonts w:asciiTheme="minorEastAsia" w:eastAsiaTheme="minorEastAsia" w:hAnsiTheme="minorEastAsia"/>
              </w:rPr>
              <w:t xml:space="preserve"> Fundamentals of Many-body Physics (partially in Chapter 1-</w:t>
            </w:r>
            <w:proofErr w:type="gramStart"/>
            <w:r w:rsidRPr="008F52F7">
              <w:rPr>
                <w:rFonts w:asciiTheme="minorEastAsia" w:eastAsiaTheme="minorEastAsia" w:hAnsiTheme="minorEastAsia"/>
              </w:rPr>
              <w:t>5)(</w:t>
            </w:r>
            <w:proofErr w:type="gramEnd"/>
            <w:r w:rsidRPr="008F52F7">
              <w:rPr>
                <w:rFonts w:asciiTheme="minorEastAsia" w:eastAsiaTheme="minorEastAsia" w:hAnsiTheme="minorEastAsia"/>
              </w:rPr>
              <w:t>a): Second Quantization</w:t>
            </w:r>
            <w:r w:rsidRPr="008F52F7">
              <w:rPr>
                <w:rFonts w:asciiTheme="minorEastAsia" w:eastAsiaTheme="minorEastAsia" w:hAnsiTheme="minorEastAsia" w:hint="eastAsia"/>
              </w:rPr>
              <w:t xml:space="preserve"> (b)</w:t>
            </w:r>
            <w:r w:rsidRPr="008F52F7">
              <w:rPr>
                <w:rFonts w:asciiTheme="minorEastAsia" w:eastAsiaTheme="minorEastAsia" w:hAnsiTheme="minorEastAsia"/>
              </w:rPr>
              <w:t>: Many-Body Model Systems (c):Green’s functions (d):Systems of interacting Particles (e): Perturbation theory (Zero Temperature)</w:t>
            </w:r>
          </w:p>
        </w:tc>
      </w:tr>
      <w:tr w:rsidR="005A2D00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9C1D327" w:rsidR="005A2D00" w:rsidRPr="00806D76" w:rsidRDefault="005A2D00" w:rsidP="005A2D00">
            <w:pPr>
              <w:spacing w:line="320" w:lineRule="exact"/>
              <w:ind w:leftChars="0" w:left="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/>
              </w:rPr>
              <w:t>Week 13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 The disordered system </w:t>
            </w:r>
            <w:proofErr w:type="gramStart"/>
            <w:r>
              <w:rPr>
                <w:rFonts w:ascii="新細明體" w:hAnsi="新細明體" w:cs="新細明體" w:hint="eastAsia"/>
                <w:color w:val="000000"/>
              </w:rPr>
              <w:t>( nonmagnetic</w:t>
            </w:r>
            <w:proofErr w:type="gramEnd"/>
            <w:r>
              <w:rPr>
                <w:rFonts w:ascii="新細明體" w:hAnsi="新細明體" w:cs="新細明體" w:hint="eastAsia"/>
                <w:color w:val="000000"/>
              </w:rPr>
              <w:t xml:space="preserve"> and magnetic </w:t>
            </w:r>
            <w:r>
              <w:rPr>
                <w:rFonts w:ascii="新細明體" w:hAnsi="新細明體" w:cs="新細明體"/>
                <w:color w:val="000000"/>
              </w:rPr>
              <w:t>impurities</w:t>
            </w:r>
            <w:r>
              <w:rPr>
                <w:rFonts w:ascii="新細明體" w:hAnsi="新細明體" w:cs="新細明體" w:hint="eastAsia"/>
                <w:color w:val="000000"/>
              </w:rPr>
              <w:t>)</w:t>
            </w:r>
          </w:p>
        </w:tc>
      </w:tr>
      <w:tr w:rsidR="005A2D00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9A6C" w14:textId="3E99CB65" w:rsidR="005A2D00" w:rsidRDefault="005A2D00" w:rsidP="005A2D00">
            <w:pPr>
              <w:spacing w:before="0" w:beforeAutospacing="0"/>
              <w:ind w:leftChars="0" w:left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eastAsia="微軟正黑體"/>
              </w:rPr>
              <w:t>Week 14</w:t>
            </w:r>
            <w:r>
              <w:rPr>
                <w:rFonts w:ascii="新細明體" w:hAnsi="新細明體" w:cs="新細明體"/>
                <w:color w:val="000000"/>
              </w:rPr>
              <w:t xml:space="preserve"> The applications the Boltzmann equations to electron transport in the metals and phonons 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in the heat transports. </w:t>
            </w:r>
          </w:p>
          <w:p w14:paraId="473EFA66" w14:textId="77777777" w:rsidR="005A2D00" w:rsidRDefault="005A2D00" w:rsidP="005A2D00">
            <w:pPr>
              <w:numPr>
                <w:ilvl w:val="0"/>
                <w:numId w:val="23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Interactions of phonons. The transport equation for phonons </w:t>
            </w:r>
          </w:p>
          <w:p w14:paraId="5618FABD" w14:textId="77777777" w:rsidR="005A2D00" w:rsidRDefault="005A2D00" w:rsidP="005A2D00">
            <w:pPr>
              <w:numPr>
                <w:ilvl w:val="0"/>
                <w:numId w:val="23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The Thermal conduction of phonons transport </w:t>
            </w:r>
          </w:p>
          <w:p w14:paraId="63CD7C5D" w14:textId="107B68B3" w:rsidR="005A2D00" w:rsidRPr="005A2D00" w:rsidRDefault="005A2D00" w:rsidP="005A2D00">
            <w:pPr>
              <w:numPr>
                <w:ilvl w:val="0"/>
                <w:numId w:val="23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The effects of the scattering of phonons by impurities.  </w:t>
            </w:r>
          </w:p>
        </w:tc>
      </w:tr>
      <w:tr w:rsidR="005A2D00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B733" w14:textId="450E652A" w:rsidR="005A2D00" w:rsidRDefault="005A2D00" w:rsidP="005A2D00">
            <w:pPr>
              <w:spacing w:before="0" w:beforeAutospacing="0"/>
              <w:ind w:leftChars="0" w:left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eastAsia="微軟正黑體"/>
              </w:rPr>
              <w:t>Week 15</w:t>
            </w:r>
            <w:r>
              <w:rPr>
                <w:rFonts w:ascii="新細明體" w:hAnsi="新細明體" w:cs="新細明體"/>
                <w:color w:val="000000"/>
              </w:rPr>
              <w:t xml:space="preserve"> The applications the Boltzmann equations to electron transport in the metals and phonons 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in the heat transports. </w:t>
            </w:r>
          </w:p>
          <w:p w14:paraId="61DDF76B" w14:textId="77777777" w:rsidR="005A2D00" w:rsidRDefault="005A2D00" w:rsidP="005A2D00">
            <w:pPr>
              <w:numPr>
                <w:ilvl w:val="0"/>
                <w:numId w:val="24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Interactions of phonons. The transport equation for phonons </w:t>
            </w:r>
          </w:p>
          <w:p w14:paraId="1B69A02F" w14:textId="5F4D71AB" w:rsidR="005A2D00" w:rsidRDefault="005A2D00" w:rsidP="005A2D00">
            <w:pPr>
              <w:numPr>
                <w:ilvl w:val="0"/>
                <w:numId w:val="24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The Thermal conduction of phonons transport </w:t>
            </w:r>
          </w:p>
          <w:p w14:paraId="03250677" w14:textId="3E32FC86" w:rsidR="005A2D00" w:rsidRPr="005A2D00" w:rsidRDefault="005A2D00" w:rsidP="005A2D00">
            <w:pPr>
              <w:numPr>
                <w:ilvl w:val="0"/>
                <w:numId w:val="24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 w:rsidRPr="005A2D00">
              <w:rPr>
                <w:rFonts w:ascii="新細明體" w:hAnsi="新細明體" w:cs="新細明體"/>
                <w:color w:val="000000"/>
              </w:rPr>
              <w:t>The effects of the scattering of phonons by impurities.</w:t>
            </w:r>
          </w:p>
        </w:tc>
      </w:tr>
      <w:tr w:rsidR="005A2D00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2AE3" w14:textId="31EDBBBB" w:rsidR="005A2D00" w:rsidRDefault="005A2D00" w:rsidP="005A2D00">
            <w:pPr>
              <w:spacing w:before="0" w:beforeAutospacing="0"/>
              <w:ind w:leftChars="0" w:left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 The application many-body techni</w:t>
            </w:r>
            <w:r>
              <w:rPr>
                <w:rFonts w:ascii="新細明體" w:hAnsi="新細明體" w:cs="新細明體"/>
                <w:color w:val="000000"/>
              </w:rPr>
              <w:t xml:space="preserve">que 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to </w:t>
            </w:r>
            <w:r>
              <w:rPr>
                <w:rFonts w:ascii="新細明體" w:hAnsi="新細明體" w:cs="新細明體"/>
                <w:color w:val="000000"/>
              </w:rPr>
              <w:t xml:space="preserve">the 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spin Hall effect </w:t>
            </w:r>
          </w:p>
          <w:p w14:paraId="18553596" w14:textId="77777777" w:rsidR="005A2D00" w:rsidRDefault="005A2D00" w:rsidP="005A2D00">
            <w:pPr>
              <w:numPr>
                <w:ilvl w:val="0"/>
                <w:numId w:val="25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The spin-orbit interaction, side jump and skew scatterings in the spin Hall effect, </w:t>
            </w:r>
          </w:p>
          <w:p w14:paraId="4359C1AA" w14:textId="557172F7" w:rsidR="005A2D00" w:rsidRPr="005A2D00" w:rsidRDefault="005A2D00" w:rsidP="005A2D00">
            <w:pPr>
              <w:numPr>
                <w:ilvl w:val="0"/>
                <w:numId w:val="25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The spin and charge currents in ferromagnetic systems and spin Hall effect for the nonmagnetic </w:t>
            </w:r>
            <w:r w:rsidRPr="005A2D00">
              <w:rPr>
                <w:rFonts w:ascii="新細明體" w:hAnsi="新細明體" w:cs="新細明體"/>
                <w:color w:val="000000"/>
              </w:rPr>
              <w:t xml:space="preserve">systems.  </w:t>
            </w:r>
          </w:p>
        </w:tc>
      </w:tr>
      <w:tr w:rsidR="005A2D00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888A" w14:textId="20AABA23" w:rsidR="005A2D00" w:rsidRDefault="005A2D00" w:rsidP="005A2D00">
            <w:pPr>
              <w:spacing w:before="0" w:beforeAutospacing="0"/>
              <w:ind w:leftChars="0" w:left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eastAsia="微軟正黑體"/>
              </w:rPr>
              <w:t>Week 17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 The application many-body techni</w:t>
            </w:r>
            <w:r>
              <w:rPr>
                <w:rFonts w:ascii="新細明體" w:hAnsi="新細明體" w:cs="新細明體"/>
                <w:color w:val="000000"/>
              </w:rPr>
              <w:t xml:space="preserve">que 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to </w:t>
            </w:r>
            <w:r>
              <w:rPr>
                <w:rFonts w:ascii="新細明體" w:hAnsi="新細明體" w:cs="新細明體"/>
                <w:color w:val="000000"/>
              </w:rPr>
              <w:t xml:space="preserve">the </w:t>
            </w:r>
            <w:r>
              <w:rPr>
                <w:rFonts w:ascii="新細明體" w:hAnsi="新細明體" w:cs="新細明體" w:hint="eastAsia"/>
                <w:color w:val="000000"/>
              </w:rPr>
              <w:t xml:space="preserve">spin Hall effect </w:t>
            </w:r>
          </w:p>
          <w:p w14:paraId="0AB5075A" w14:textId="3E995CB4" w:rsidR="005A2D00" w:rsidRDefault="005A2D00" w:rsidP="005A2D00">
            <w:pPr>
              <w:numPr>
                <w:ilvl w:val="0"/>
                <w:numId w:val="26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The spin-orbit interaction, side jump and skew scatterings in the spin Hall effect, </w:t>
            </w:r>
          </w:p>
          <w:p w14:paraId="4AD080D8" w14:textId="5DE7CCDA" w:rsidR="005A2D00" w:rsidRPr="005A2D00" w:rsidRDefault="005A2D00" w:rsidP="005A2D00">
            <w:pPr>
              <w:numPr>
                <w:ilvl w:val="0"/>
                <w:numId w:val="26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 w:rsidRPr="005A2D00">
              <w:rPr>
                <w:rFonts w:ascii="新細明體" w:hAnsi="新細明體" w:cs="新細明體"/>
                <w:color w:val="000000"/>
              </w:rPr>
              <w:t>The spin and charge currents in ferromagnetic systems and spin Hall effect for the nonmagnetic systems.</w:t>
            </w:r>
          </w:p>
        </w:tc>
      </w:tr>
      <w:tr w:rsidR="005A2D00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4D93" w14:textId="61AD7923" w:rsidR="00DB73CA" w:rsidRDefault="005A2D00" w:rsidP="00DB73CA">
            <w:pPr>
              <w:spacing w:before="0" w:beforeAutospacing="0"/>
              <w:ind w:leftChars="0" w:left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eastAsia="微軟正黑體"/>
              </w:rPr>
              <w:t>Week 18</w:t>
            </w:r>
            <w:r w:rsidR="00DB73CA">
              <w:rPr>
                <w:rFonts w:ascii="新細明體" w:hAnsi="新細明體" w:cs="新細明體" w:hint="eastAsia"/>
                <w:color w:val="000000"/>
              </w:rPr>
              <w:t xml:space="preserve"> The application many-body techni</w:t>
            </w:r>
            <w:r w:rsidR="00DB73CA">
              <w:rPr>
                <w:rFonts w:ascii="新細明體" w:hAnsi="新細明體" w:cs="新細明體"/>
                <w:color w:val="000000"/>
              </w:rPr>
              <w:t xml:space="preserve">que </w:t>
            </w:r>
            <w:r w:rsidR="00DB73CA">
              <w:rPr>
                <w:rFonts w:ascii="新細明體" w:hAnsi="新細明體" w:cs="新細明體" w:hint="eastAsia"/>
                <w:color w:val="000000"/>
              </w:rPr>
              <w:t xml:space="preserve">to </w:t>
            </w:r>
            <w:r w:rsidR="00DB73CA">
              <w:rPr>
                <w:rFonts w:ascii="新細明體" w:hAnsi="新細明體" w:cs="新細明體"/>
                <w:color w:val="000000"/>
              </w:rPr>
              <w:t xml:space="preserve">the </w:t>
            </w:r>
            <w:r w:rsidR="00DB73CA">
              <w:rPr>
                <w:rFonts w:ascii="新細明體" w:hAnsi="新細明體" w:cs="新細明體" w:hint="eastAsia"/>
                <w:color w:val="000000"/>
              </w:rPr>
              <w:t xml:space="preserve">spin Hall effect </w:t>
            </w:r>
          </w:p>
          <w:p w14:paraId="06A1E99B" w14:textId="6B801C39" w:rsidR="00DB73CA" w:rsidRDefault="00DB73CA" w:rsidP="00DB73CA">
            <w:pPr>
              <w:numPr>
                <w:ilvl w:val="0"/>
                <w:numId w:val="27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 xml:space="preserve">The spin-orbit interaction, side jump and skew scatterings in the spin Hall effect, </w:t>
            </w:r>
          </w:p>
          <w:p w14:paraId="5ABA5B03" w14:textId="0C8B93B0" w:rsidR="005A2D00" w:rsidRPr="00DB73CA" w:rsidRDefault="00DB73CA" w:rsidP="00DB73CA">
            <w:pPr>
              <w:numPr>
                <w:ilvl w:val="0"/>
                <w:numId w:val="27"/>
              </w:numPr>
              <w:spacing w:before="0" w:beforeAutospacing="0"/>
              <w:ind w:leftChars="0"/>
              <w:jc w:val="left"/>
              <w:rPr>
                <w:rFonts w:ascii="新細明體" w:hAnsi="新細明體" w:cs="新細明體"/>
                <w:color w:val="000000"/>
              </w:rPr>
            </w:pPr>
            <w:r w:rsidRPr="00DB73CA">
              <w:rPr>
                <w:rFonts w:ascii="新細明體" w:hAnsi="新細明體" w:cs="新細明體"/>
                <w:color w:val="000000"/>
              </w:rPr>
              <w:t>The spin and charge currents in ferromagnetic systems and spin Hall effect for the nonmagnetic systems.</w:t>
            </w:r>
          </w:p>
        </w:tc>
      </w:tr>
      <w:tr w:rsidR="005A2D00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876D1CE" w14:textId="77777777" w:rsidR="005A2D00" w:rsidRPr="001C052A" w:rsidRDefault="005A2D00" w:rsidP="005A2D0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15BA17B" w:rsidR="005A2D00" w:rsidRPr="001C052A" w:rsidRDefault="005A2D00" w:rsidP="005A2D0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5A2D00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5A2D00" w14:paraId="64EA256D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A8E90CB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7A55BE31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66E6712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1474EE64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A2D00" w14:paraId="7D38DF02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5AAC229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2E7402B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C95579B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84ED90A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3E90543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D7BB0C2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A2D00" w14:paraId="79B08E9A" w14:textId="77777777" w:rsidTr="00D02D1D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D05C72" w14:textId="77777777" w:rsidR="005A2D00" w:rsidRDefault="005A2D00" w:rsidP="005A2D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97739B0" w14:textId="77777777" w:rsidR="005A2D00" w:rsidRDefault="005A2D00" w:rsidP="005A2D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0DECD83A" w14:textId="77777777" w:rsidR="005A2D00" w:rsidRDefault="005A2D00" w:rsidP="005A2D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22FE0E4" w14:textId="77777777" w:rsidR="005A2D00" w:rsidRDefault="005A2D00" w:rsidP="005A2D0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D37109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7A41073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C181618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147C8B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3FADB00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A2D00" w14:paraId="5BC6275A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55B90AD" w14:textId="77777777" w:rsidR="005A2D00" w:rsidRDefault="005A2D00" w:rsidP="005A2D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4C9F186" w14:textId="77777777" w:rsidR="005A2D00" w:rsidRDefault="005A2D00" w:rsidP="005A2D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72436FC1" w14:textId="77777777" w:rsidR="005A2D00" w:rsidRDefault="005A2D00" w:rsidP="005A2D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23234B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F0DC889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D33D3C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8E0FE3E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864307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A2D00" w14:paraId="23E4267F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BE0904B" w14:textId="77777777" w:rsidR="005A2D00" w:rsidRDefault="005A2D00" w:rsidP="005A2D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0C7CF7" w14:textId="77777777" w:rsidR="005A2D00" w:rsidRDefault="005A2D00" w:rsidP="005A2D0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722E2E6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0678339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21EA3C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623F968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D23DD0E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A2D00" w14:paraId="45271BB5" w14:textId="77777777" w:rsidTr="00D02D1D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A5A9C3" w14:textId="77777777" w:rsidR="005A2D00" w:rsidRDefault="005A2D00" w:rsidP="005A2D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86E463A" w14:textId="77777777" w:rsidR="005A2D00" w:rsidRDefault="005A2D00" w:rsidP="005A2D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988F53E" w14:textId="77777777" w:rsidR="005A2D00" w:rsidRDefault="005A2D00" w:rsidP="005A2D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63511A9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CF33478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30C2A6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A83917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A2F894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A2D00" w14:paraId="3D54BF6B" w14:textId="77777777" w:rsidTr="00D02D1D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85ED5B6" w14:textId="77777777" w:rsidR="005A2D00" w:rsidRDefault="005A2D00" w:rsidP="005A2D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9394A42" w14:textId="77777777" w:rsidR="005A2D00" w:rsidRDefault="005A2D00" w:rsidP="005A2D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5E2A715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330BA0E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F5E745E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5A3065A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377A1E" w14:textId="77777777" w:rsidR="005A2D00" w:rsidRDefault="005A2D00" w:rsidP="005A2D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774C2DF6" w:rsidR="005A2D00" w:rsidRPr="0038711E" w:rsidRDefault="005A2D00" w:rsidP="005A2D00">
            <w:pPr>
              <w:spacing w:before="0" w:beforeAutospacing="0"/>
              <w:ind w:leftChars="0" w:left="0" w:right="-12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5C9DC" w14:textId="77777777" w:rsidR="00E542BA" w:rsidRDefault="00E542BA" w:rsidP="00E9068E">
      <w:pPr>
        <w:spacing w:before="0"/>
      </w:pPr>
      <w:r>
        <w:separator/>
      </w:r>
    </w:p>
  </w:endnote>
  <w:endnote w:type="continuationSeparator" w:id="0">
    <w:p w14:paraId="374B7ADC" w14:textId="77777777" w:rsidR="00E542BA" w:rsidRDefault="00E542B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082A" w14:textId="77777777" w:rsidR="00E542BA" w:rsidRDefault="00E542BA" w:rsidP="00E9068E">
      <w:pPr>
        <w:spacing w:before="0"/>
      </w:pPr>
      <w:r>
        <w:separator/>
      </w:r>
    </w:p>
  </w:footnote>
  <w:footnote w:type="continuationSeparator" w:id="0">
    <w:p w14:paraId="0632D9BD" w14:textId="77777777" w:rsidR="00E542BA" w:rsidRDefault="00E542B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77E81"/>
    <w:multiLevelType w:val="hybridMultilevel"/>
    <w:tmpl w:val="D898F008"/>
    <w:lvl w:ilvl="0" w:tplc="C672A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FBD7415"/>
    <w:multiLevelType w:val="hybridMultilevel"/>
    <w:tmpl w:val="3AC4E30C"/>
    <w:lvl w:ilvl="0" w:tplc="1EAAC188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7E8592B"/>
    <w:multiLevelType w:val="hybridMultilevel"/>
    <w:tmpl w:val="D898F008"/>
    <w:lvl w:ilvl="0" w:tplc="C672A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E219F"/>
    <w:multiLevelType w:val="hybridMultilevel"/>
    <w:tmpl w:val="49269BDE"/>
    <w:lvl w:ilvl="0" w:tplc="7228F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460EF"/>
    <w:multiLevelType w:val="multilevel"/>
    <w:tmpl w:val="F8B6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75FA0"/>
    <w:multiLevelType w:val="multilevel"/>
    <w:tmpl w:val="70D0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2158C"/>
    <w:multiLevelType w:val="hybridMultilevel"/>
    <w:tmpl w:val="3AC4E30C"/>
    <w:lvl w:ilvl="0" w:tplc="1EAAC188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C2ED2"/>
    <w:multiLevelType w:val="hybridMultilevel"/>
    <w:tmpl w:val="3AC4E30C"/>
    <w:lvl w:ilvl="0" w:tplc="1EAAC188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A5E68"/>
    <w:multiLevelType w:val="multilevel"/>
    <w:tmpl w:val="27CE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A7F4F"/>
    <w:multiLevelType w:val="multilevel"/>
    <w:tmpl w:val="9240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85846"/>
    <w:multiLevelType w:val="hybridMultilevel"/>
    <w:tmpl w:val="644416FE"/>
    <w:lvl w:ilvl="0" w:tplc="EAD8F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0"/>
  </w:num>
  <w:num w:numId="5">
    <w:abstractNumId w:val="0"/>
  </w:num>
  <w:num w:numId="6">
    <w:abstractNumId w:val="25"/>
  </w:num>
  <w:num w:numId="7">
    <w:abstractNumId w:val="15"/>
  </w:num>
  <w:num w:numId="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22"/>
  </w:num>
  <w:num w:numId="10">
    <w:abstractNumId w:val="19"/>
    <w:lvlOverride w:ilvl="0">
      <w:lvl w:ilvl="0">
        <w:numFmt w:val="decimal"/>
        <w:lvlText w:val="%1."/>
        <w:lvlJc w:val="left"/>
      </w:lvl>
    </w:lvlOverride>
  </w:num>
  <w:num w:numId="11">
    <w:abstractNumId w:val="16"/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5"/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4"/>
  </w:num>
  <w:num w:numId="16">
    <w:abstractNumId w:val="18"/>
  </w:num>
  <w:num w:numId="17">
    <w:abstractNumId w:val="20"/>
  </w:num>
  <w:num w:numId="18">
    <w:abstractNumId w:val="24"/>
  </w:num>
  <w:num w:numId="19">
    <w:abstractNumId w:val="23"/>
  </w:num>
  <w:num w:numId="20">
    <w:abstractNumId w:val="11"/>
  </w:num>
  <w:num w:numId="21">
    <w:abstractNumId w:val="13"/>
  </w:num>
  <w:num w:numId="22">
    <w:abstractNumId w:val="26"/>
  </w:num>
  <w:num w:numId="23">
    <w:abstractNumId w:val="3"/>
  </w:num>
  <w:num w:numId="24">
    <w:abstractNumId w:val="1"/>
  </w:num>
  <w:num w:numId="25">
    <w:abstractNumId w:val="2"/>
  </w:num>
  <w:num w:numId="26">
    <w:abstractNumId w:val="17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6398C"/>
    <w:rsid w:val="00185033"/>
    <w:rsid w:val="001A3D56"/>
    <w:rsid w:val="001B416E"/>
    <w:rsid w:val="001B418B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A1C27"/>
    <w:rsid w:val="002C49B3"/>
    <w:rsid w:val="002D309E"/>
    <w:rsid w:val="0031410F"/>
    <w:rsid w:val="00315BF1"/>
    <w:rsid w:val="00342694"/>
    <w:rsid w:val="00352D37"/>
    <w:rsid w:val="003866FE"/>
    <w:rsid w:val="0038711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4332A"/>
    <w:rsid w:val="0048423F"/>
    <w:rsid w:val="004A22ED"/>
    <w:rsid w:val="004B1268"/>
    <w:rsid w:val="004F4DFA"/>
    <w:rsid w:val="004F517A"/>
    <w:rsid w:val="00505EBF"/>
    <w:rsid w:val="005200E0"/>
    <w:rsid w:val="005363DA"/>
    <w:rsid w:val="005418BE"/>
    <w:rsid w:val="005478D7"/>
    <w:rsid w:val="00554B7B"/>
    <w:rsid w:val="00563CB8"/>
    <w:rsid w:val="005A2D00"/>
    <w:rsid w:val="005A47C9"/>
    <w:rsid w:val="005C25D7"/>
    <w:rsid w:val="005D00B8"/>
    <w:rsid w:val="005E5E9E"/>
    <w:rsid w:val="006028FD"/>
    <w:rsid w:val="006202DB"/>
    <w:rsid w:val="006620EE"/>
    <w:rsid w:val="006749F5"/>
    <w:rsid w:val="006827BB"/>
    <w:rsid w:val="006B376A"/>
    <w:rsid w:val="006D11E4"/>
    <w:rsid w:val="006E35CB"/>
    <w:rsid w:val="006F2CFB"/>
    <w:rsid w:val="007311F5"/>
    <w:rsid w:val="00753EE9"/>
    <w:rsid w:val="007607E9"/>
    <w:rsid w:val="007768F8"/>
    <w:rsid w:val="00782605"/>
    <w:rsid w:val="007C04DC"/>
    <w:rsid w:val="007D4DC5"/>
    <w:rsid w:val="007F645B"/>
    <w:rsid w:val="00801E9F"/>
    <w:rsid w:val="00806D76"/>
    <w:rsid w:val="00820424"/>
    <w:rsid w:val="008324AE"/>
    <w:rsid w:val="008675FE"/>
    <w:rsid w:val="008758A6"/>
    <w:rsid w:val="00894A28"/>
    <w:rsid w:val="008A4FA4"/>
    <w:rsid w:val="008A5A3D"/>
    <w:rsid w:val="008B0371"/>
    <w:rsid w:val="008D29F6"/>
    <w:rsid w:val="008D5B4B"/>
    <w:rsid w:val="008E29D9"/>
    <w:rsid w:val="008E3BC3"/>
    <w:rsid w:val="008F28CD"/>
    <w:rsid w:val="008F2E1B"/>
    <w:rsid w:val="009323A7"/>
    <w:rsid w:val="009533AF"/>
    <w:rsid w:val="009614F0"/>
    <w:rsid w:val="009636D0"/>
    <w:rsid w:val="00965BE9"/>
    <w:rsid w:val="009801FE"/>
    <w:rsid w:val="0099199D"/>
    <w:rsid w:val="009A17F2"/>
    <w:rsid w:val="009B55B2"/>
    <w:rsid w:val="009E38E7"/>
    <w:rsid w:val="009F1228"/>
    <w:rsid w:val="009F53E0"/>
    <w:rsid w:val="00A17751"/>
    <w:rsid w:val="00A23EE6"/>
    <w:rsid w:val="00A336D5"/>
    <w:rsid w:val="00A41B7F"/>
    <w:rsid w:val="00A63746"/>
    <w:rsid w:val="00A642A3"/>
    <w:rsid w:val="00A92675"/>
    <w:rsid w:val="00A93E69"/>
    <w:rsid w:val="00A94058"/>
    <w:rsid w:val="00A9470C"/>
    <w:rsid w:val="00AD24AF"/>
    <w:rsid w:val="00B23992"/>
    <w:rsid w:val="00B3289C"/>
    <w:rsid w:val="00B341BD"/>
    <w:rsid w:val="00B41D5C"/>
    <w:rsid w:val="00B46395"/>
    <w:rsid w:val="00B479C7"/>
    <w:rsid w:val="00B813F4"/>
    <w:rsid w:val="00BA3B3C"/>
    <w:rsid w:val="00BB3197"/>
    <w:rsid w:val="00BB46FE"/>
    <w:rsid w:val="00BB7AC8"/>
    <w:rsid w:val="00C12D8D"/>
    <w:rsid w:val="00C219A1"/>
    <w:rsid w:val="00C41496"/>
    <w:rsid w:val="00C453F1"/>
    <w:rsid w:val="00C66749"/>
    <w:rsid w:val="00C704D2"/>
    <w:rsid w:val="00CA19BA"/>
    <w:rsid w:val="00CB0EB2"/>
    <w:rsid w:val="00CC4933"/>
    <w:rsid w:val="00CE72FE"/>
    <w:rsid w:val="00CF45AF"/>
    <w:rsid w:val="00D02D1D"/>
    <w:rsid w:val="00D15EB5"/>
    <w:rsid w:val="00D346A1"/>
    <w:rsid w:val="00D60A18"/>
    <w:rsid w:val="00D72526"/>
    <w:rsid w:val="00D83835"/>
    <w:rsid w:val="00D83DB5"/>
    <w:rsid w:val="00D90C40"/>
    <w:rsid w:val="00DB2B30"/>
    <w:rsid w:val="00DB73CA"/>
    <w:rsid w:val="00DD4F0C"/>
    <w:rsid w:val="00DE18A3"/>
    <w:rsid w:val="00DF48AC"/>
    <w:rsid w:val="00E15F38"/>
    <w:rsid w:val="00E334A2"/>
    <w:rsid w:val="00E542BA"/>
    <w:rsid w:val="00E60503"/>
    <w:rsid w:val="00E70A19"/>
    <w:rsid w:val="00E7763E"/>
    <w:rsid w:val="00E9068E"/>
    <w:rsid w:val="00E9176A"/>
    <w:rsid w:val="00EC360C"/>
    <w:rsid w:val="00EC60D9"/>
    <w:rsid w:val="00F06765"/>
    <w:rsid w:val="00F16660"/>
    <w:rsid w:val="00F215AE"/>
    <w:rsid w:val="00F22674"/>
    <w:rsid w:val="00F345EA"/>
    <w:rsid w:val="00F75052"/>
    <w:rsid w:val="00F95DD9"/>
    <w:rsid w:val="00FC3432"/>
    <w:rsid w:val="00FC6D5F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tsai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79FA-83D4-4D39-937D-A7226AA5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2</cp:revision>
  <cp:lastPrinted>2023-06-26T09:36:00Z</cp:lastPrinted>
  <dcterms:created xsi:type="dcterms:W3CDTF">2025-05-22T06:51:00Z</dcterms:created>
  <dcterms:modified xsi:type="dcterms:W3CDTF">2025-05-22T06:51:00Z</dcterms:modified>
</cp:coreProperties>
</file>