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3" w:rsidRDefault="005D51C1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kern w:val="0"/>
          <w:sz w:val="44"/>
          <w:szCs w:val="44"/>
        </w:rPr>
        <w:t>10</w:t>
      </w:r>
      <w:r>
        <w:rPr>
          <w:rFonts w:hint="eastAsia"/>
          <w:kern w:val="0"/>
          <w:sz w:val="44"/>
          <w:szCs w:val="44"/>
        </w:rPr>
        <w:t>8</w:t>
      </w:r>
      <w:r w:rsidR="00AF0D4F" w:rsidRPr="00AF0D4F">
        <w:rPr>
          <w:kern w:val="0"/>
          <w:sz w:val="44"/>
          <w:szCs w:val="44"/>
        </w:rPr>
        <w:t>-1</w:t>
      </w:r>
      <w:r w:rsidR="007C7973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="007C7973"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、所</w:t>
      </w:r>
      <w:r w:rsidR="007C7973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5D51C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D51C1">
              <w:rPr>
                <w:kern w:val="0"/>
              </w:rPr>
              <w:t>16</w:t>
            </w:r>
            <w:r w:rsidRPr="005D51C1">
              <w:rPr>
                <w:kern w:val="0"/>
                <w:lang w:eastAsia="zh-HK"/>
              </w:rPr>
              <w:t>至</w:t>
            </w:r>
            <w:r w:rsidRPr="005D51C1">
              <w:rPr>
                <w:kern w:val="0"/>
              </w:rPr>
              <w:t>18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世紀</w:t>
            </w:r>
            <w:r w:rsidR="000B2C01">
              <w:rPr>
                <w:rFonts w:ascii="新細明體" w:hAnsi="新細明體" w:cs="新細明體" w:hint="eastAsia"/>
                <w:kern w:val="0"/>
                <w:lang w:eastAsia="zh-HK"/>
              </w:rPr>
              <w:t>歐洲</w:t>
            </w:r>
            <w:r w:rsidR="000A5ECF">
              <w:rPr>
                <w:rFonts w:ascii="新細明體" w:hAnsi="新細明體" w:cs="新細明體"/>
                <w:kern w:val="0"/>
              </w:rPr>
              <w:t>史</w:t>
            </w:r>
            <w:r w:rsidR="00275E60">
              <w:rPr>
                <w:rFonts w:ascii="新細明體" w:hAnsi="新細明體" w:cs="新細明體"/>
                <w:kern w:val="0"/>
              </w:rPr>
              <w:t>(</w:t>
            </w:r>
            <w:proofErr w:type="gramStart"/>
            <w:r w:rsidR="00275E60">
              <w:rPr>
                <w:rFonts w:ascii="新細明體" w:hAnsi="新細明體" w:cs="新細明體"/>
                <w:kern w:val="0"/>
              </w:rPr>
              <w:t>一</w:t>
            </w:r>
            <w:proofErr w:type="gramEnd"/>
            <w:r w:rsidR="00275E60">
              <w:rPr>
                <w:rFonts w:ascii="新細明體" w:hAnsi="新細明體" w:cs="新細明體"/>
                <w:kern w:val="0"/>
              </w:rPr>
              <w:t>)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 w:rsidR="000B2C01" w:rsidRPr="000B2C01">
              <w:rPr>
                <w:kern w:val="0"/>
              </w:rPr>
              <w:t xml:space="preserve">History of </w:t>
            </w:r>
            <w:r w:rsidR="000B2C01">
              <w:rPr>
                <w:rFonts w:hint="eastAsia"/>
                <w:color w:val="000000"/>
              </w:rPr>
              <w:t>Eu</w:t>
            </w:r>
            <w:r w:rsidR="000B2C01">
              <w:rPr>
                <w:color w:val="000000"/>
              </w:rPr>
              <w:t>rope</w:t>
            </w:r>
            <w:r w:rsidR="005D51C1">
              <w:rPr>
                <w:color w:val="000000"/>
              </w:rPr>
              <w:t xml:space="preserve"> </w:t>
            </w:r>
            <w:r w:rsidR="005D51C1">
              <w:rPr>
                <w:rFonts w:hint="eastAsia"/>
                <w:color w:val="000000"/>
              </w:rPr>
              <w:t>fr</w:t>
            </w:r>
            <w:r w:rsidR="005D51C1">
              <w:rPr>
                <w:color w:val="000000"/>
              </w:rPr>
              <w:t>om 16-18</w:t>
            </w:r>
            <w:r w:rsidR="005D51C1" w:rsidRPr="005D51C1">
              <w:rPr>
                <w:color w:val="000000"/>
                <w:vertAlign w:val="superscript"/>
              </w:rPr>
              <w:t>th</w:t>
            </w:r>
            <w:r w:rsidR="006F4FE4">
              <w:rPr>
                <w:color w:val="000000"/>
              </w:rPr>
              <w:t xml:space="preserve"> </w:t>
            </w:r>
            <w:r w:rsidR="00275E60">
              <w:rPr>
                <w:rFonts w:hint="eastAsia"/>
                <w:color w:val="000000"/>
              </w:rPr>
              <w:t>(1)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0725A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杜子信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無</w:t>
            </w:r>
          </w:p>
        </w:tc>
      </w:tr>
      <w:tr w:rsidR="006F4FE4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Pr="006F4FE4" w:rsidRDefault="006F4FE4" w:rsidP="006F4FE4">
            <w:pPr>
              <w:widowControl/>
              <w:ind w:firstLineChars="50" w:firstLine="120"/>
              <w:rPr>
                <w:kern w:val="0"/>
              </w:rPr>
            </w:pPr>
            <w:r w:rsidRPr="006F4FE4">
              <w:rPr>
                <w:kern w:val="0"/>
              </w:rPr>
              <w:t>3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課程免勾選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■</w:t>
            </w:r>
            <w:r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、專題    □選修:史料選讀.史學領域.應用史學類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7175" w:rsidRDefault="00437175" w:rsidP="00FA5ED8">
            <w:pPr>
              <w:widowControl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從世界史的角度而言，</w:t>
            </w:r>
            <w:r w:rsidR="00FA5ED8">
              <w:rPr>
                <w:rFonts w:hint="eastAsia"/>
                <w:color w:val="000000"/>
                <w:lang w:eastAsia="zh-HK"/>
              </w:rPr>
              <w:t>歐洲</w:t>
            </w:r>
            <w:r w:rsidR="00097281">
              <w:rPr>
                <w:rFonts w:hint="eastAsia"/>
                <w:color w:val="000000"/>
                <w:lang w:eastAsia="zh-HK"/>
              </w:rPr>
              <w:t>在</w:t>
            </w:r>
            <w:r w:rsidR="00FA5ED8">
              <w:rPr>
                <w:rFonts w:hint="eastAsia"/>
                <w:color w:val="000000"/>
                <w:lang w:eastAsia="zh-HK"/>
              </w:rPr>
              <w:t>近代早期</w:t>
            </w:r>
            <w:r w:rsidR="00FA5ED8">
              <w:rPr>
                <w:rFonts w:hint="eastAsia"/>
                <w:color w:val="000000"/>
              </w:rPr>
              <w:t>(</w:t>
            </w:r>
            <w:r w:rsidR="00FA5ED8">
              <w:rPr>
                <w:rFonts w:hint="eastAsia"/>
                <w:color w:val="000000"/>
                <w:lang w:eastAsia="zh-HK"/>
              </w:rPr>
              <w:t>或稱近古</w:t>
            </w:r>
            <w:r w:rsidR="00FA5ED8">
              <w:rPr>
                <w:rFonts w:hint="eastAsia"/>
                <w:color w:val="000000"/>
              </w:rPr>
              <w:t>)(</w:t>
            </w:r>
            <w:r w:rsidR="00FA5ED8">
              <w:rPr>
                <w:color w:val="000000"/>
              </w:rPr>
              <w:t>Early Modern</w:t>
            </w:r>
            <w:r w:rsidR="00FA5ED8">
              <w:rPr>
                <w:rFonts w:hint="eastAsia"/>
                <w:color w:val="000000"/>
              </w:rPr>
              <w:t>)</w:t>
            </w:r>
            <w:r w:rsidR="00FA5ED8">
              <w:rPr>
                <w:rFonts w:ascii="新細明體" w:hAnsi="新細明體" w:hint="eastAsia"/>
                <w:color w:val="000000"/>
              </w:rPr>
              <w:t>，</w:t>
            </w:r>
            <w:r w:rsidR="00FA5ED8">
              <w:rPr>
                <w:rFonts w:hint="eastAsia"/>
                <w:color w:val="000000"/>
                <w:lang w:eastAsia="zh-HK"/>
              </w:rPr>
              <w:t>即從</w:t>
            </w:r>
            <w:r>
              <w:rPr>
                <w:color w:val="000000"/>
                <w:lang w:val="de-DE"/>
              </w:rPr>
              <w:t>16</w:t>
            </w:r>
            <w:r>
              <w:rPr>
                <w:rFonts w:hint="eastAsia"/>
                <w:color w:val="000000"/>
                <w:lang w:val="de-DE"/>
              </w:rPr>
              <w:t>至</w:t>
            </w:r>
            <w:r w:rsidR="00337AE9">
              <w:rPr>
                <w:color w:val="000000"/>
                <w:lang w:val="de-DE"/>
              </w:rPr>
              <w:t>1</w:t>
            </w:r>
            <w:r w:rsidR="00275E60">
              <w:rPr>
                <w:rFonts w:hint="eastAsia"/>
                <w:color w:val="000000"/>
                <w:lang w:val="de-DE"/>
              </w:rPr>
              <w:t>8</w:t>
            </w:r>
            <w:r>
              <w:rPr>
                <w:rFonts w:hint="eastAsia"/>
                <w:color w:val="000000"/>
                <w:lang w:val="de-DE"/>
              </w:rPr>
              <w:t>世紀</w:t>
            </w:r>
            <w:r w:rsidR="00FA5ED8">
              <w:rPr>
                <w:rFonts w:hint="eastAsia"/>
                <w:color w:val="000000"/>
                <w:lang w:val="de-DE" w:eastAsia="zh-HK"/>
              </w:rPr>
              <w:t>之期</w:t>
            </w:r>
            <w:r w:rsidR="00FA5ED8">
              <w:rPr>
                <w:rFonts w:ascii="新細明體" w:hAnsi="新細明體" w:hint="eastAsia"/>
                <w:color w:val="000000"/>
                <w:lang w:val="de-DE"/>
              </w:rPr>
              <w:t>，</w:t>
            </w:r>
            <w:r>
              <w:rPr>
                <w:rFonts w:hint="eastAsia"/>
                <w:color w:val="000000"/>
                <w:lang w:val="de-DE"/>
              </w:rPr>
              <w:t>可謂一個</w:t>
            </w:r>
            <w:proofErr w:type="gramStart"/>
            <w:r>
              <w:rPr>
                <w:rFonts w:hint="eastAsia"/>
                <w:color w:val="000000"/>
                <w:lang w:val="de-DE"/>
              </w:rPr>
              <w:t>鉅</w:t>
            </w:r>
            <w:proofErr w:type="gramEnd"/>
            <w:r>
              <w:rPr>
                <w:rFonts w:hint="eastAsia"/>
                <w:color w:val="000000"/>
                <w:lang w:val="de-DE"/>
              </w:rPr>
              <w:t>大轉變的紀元，在這段時期歐洲所發生的諸多重大事件，例如</w:t>
            </w:r>
            <w:r>
              <w:rPr>
                <w:color w:val="000000"/>
                <w:lang w:val="de-DE"/>
              </w:rPr>
              <w:t>16</w:t>
            </w:r>
            <w:r w:rsidR="005D51C1">
              <w:rPr>
                <w:rFonts w:hint="eastAsia"/>
                <w:color w:val="000000"/>
                <w:lang w:val="de-DE"/>
              </w:rPr>
              <w:t>世紀的</w:t>
            </w:r>
            <w:r w:rsidR="005D51C1">
              <w:rPr>
                <w:rFonts w:hint="eastAsia"/>
                <w:color w:val="000000"/>
                <w:lang w:val="de-DE" w:eastAsia="zh-HK"/>
              </w:rPr>
              <w:t>大航海時代</w:t>
            </w:r>
            <w:r>
              <w:rPr>
                <w:rFonts w:ascii="新細明體" w:hAnsi="新細明體" w:hint="eastAsia"/>
                <w:color w:val="000000"/>
                <w:lang w:val="de-DE"/>
              </w:rPr>
              <w:t>、</w:t>
            </w:r>
            <w:r w:rsidR="00337AE9">
              <w:rPr>
                <w:rFonts w:hint="eastAsia"/>
                <w:color w:val="000000"/>
                <w:lang w:val="de-DE"/>
              </w:rPr>
              <w:t>宗教改革運動及民族王國的</w:t>
            </w:r>
            <w:proofErr w:type="gramStart"/>
            <w:r w:rsidR="00337AE9">
              <w:rPr>
                <w:rFonts w:hint="eastAsia"/>
                <w:color w:val="000000"/>
                <w:lang w:val="de-DE"/>
              </w:rPr>
              <w:t>崛</w:t>
            </w:r>
            <w:proofErr w:type="gramEnd"/>
            <w:r w:rsidR="00337AE9">
              <w:rPr>
                <w:rFonts w:hint="eastAsia"/>
                <w:color w:val="000000"/>
                <w:lang w:val="de-DE"/>
              </w:rPr>
              <w:t>興</w:t>
            </w:r>
            <w:r w:rsidR="00337AE9">
              <w:rPr>
                <w:rFonts w:ascii="新細明體" w:hAnsi="新細明體" w:hint="eastAsia"/>
                <w:color w:val="000000"/>
                <w:lang w:val="de-DE"/>
              </w:rPr>
              <w:t>、</w:t>
            </w:r>
            <w:r>
              <w:rPr>
                <w:color w:val="000000"/>
                <w:lang w:val="de-DE"/>
              </w:rPr>
              <w:t>17</w:t>
            </w:r>
            <w:r>
              <w:rPr>
                <w:rFonts w:hint="eastAsia"/>
                <w:color w:val="000000"/>
                <w:lang w:val="de-DE"/>
              </w:rPr>
              <w:t>世紀國際政治的縱橫</w:t>
            </w:r>
            <w:proofErr w:type="gramStart"/>
            <w:r>
              <w:rPr>
                <w:rFonts w:hint="eastAsia"/>
                <w:color w:val="000000"/>
                <w:lang w:val="de-DE"/>
              </w:rPr>
              <w:t>捭闔</w:t>
            </w:r>
            <w:proofErr w:type="gramEnd"/>
            <w:r>
              <w:rPr>
                <w:rFonts w:hint="eastAsia"/>
                <w:color w:val="000000"/>
                <w:lang w:val="de-DE"/>
              </w:rPr>
              <w:t>、尼德蘭的「中產階級革命」及</w:t>
            </w:r>
            <w:r>
              <w:rPr>
                <w:color w:val="000000"/>
                <w:lang w:val="de-DE"/>
              </w:rPr>
              <w:t>英格蘭</w:t>
            </w:r>
            <w:r>
              <w:rPr>
                <w:rFonts w:hint="eastAsia"/>
                <w:color w:val="000000"/>
                <w:lang w:val="de-DE"/>
              </w:rPr>
              <w:t>的</w:t>
            </w:r>
            <w:r w:rsidRPr="00E007D5">
              <w:rPr>
                <w:rFonts w:hAnsi="標楷體"/>
                <w:color w:val="000000"/>
                <w:lang w:val="de-DE"/>
              </w:rPr>
              <w:t>「光榮革命」</w:t>
            </w:r>
            <w:r w:rsidR="00337AE9">
              <w:rPr>
                <w:rFonts w:ascii="新細明體" w:hAnsi="新細明體" w:hint="eastAsia"/>
                <w:color w:val="000000"/>
                <w:lang w:val="de-DE"/>
              </w:rPr>
              <w:t>、</w:t>
            </w:r>
            <w:r w:rsidRPr="00E007D5">
              <w:rPr>
                <w:color w:val="000000"/>
                <w:lang w:val="de-DE"/>
              </w:rPr>
              <w:t>17</w:t>
            </w:r>
            <w:r w:rsidRPr="00E007D5">
              <w:rPr>
                <w:rFonts w:hAnsi="標楷體"/>
                <w:color w:val="000000"/>
                <w:lang w:val="de-DE"/>
              </w:rPr>
              <w:t>至</w:t>
            </w:r>
            <w:r w:rsidRPr="00E007D5">
              <w:rPr>
                <w:color w:val="000000"/>
                <w:lang w:val="de-DE"/>
              </w:rPr>
              <w:t>18</w:t>
            </w:r>
            <w:r w:rsidRPr="00E007D5">
              <w:rPr>
                <w:rFonts w:hAnsi="標楷體"/>
                <w:color w:val="000000"/>
                <w:lang w:val="de-DE"/>
              </w:rPr>
              <w:t>世紀</w:t>
            </w:r>
            <w:r>
              <w:rPr>
                <w:rFonts w:hAnsi="標楷體"/>
                <w:color w:val="000000"/>
                <w:lang w:val="de-DE"/>
              </w:rPr>
              <w:t>自然科學</w:t>
            </w:r>
            <w:r>
              <w:rPr>
                <w:rFonts w:hAnsi="標楷體" w:hint="eastAsia"/>
                <w:color w:val="000000"/>
                <w:lang w:val="de-DE"/>
              </w:rPr>
              <w:t>及</w:t>
            </w:r>
            <w:r>
              <w:rPr>
                <w:rFonts w:hAnsi="標楷體"/>
                <w:color w:val="000000"/>
                <w:lang w:val="de-DE"/>
              </w:rPr>
              <w:t>啓蒙運</w:t>
            </w:r>
            <w:r>
              <w:rPr>
                <w:rFonts w:hAnsi="標楷體" w:hint="eastAsia"/>
                <w:color w:val="000000"/>
                <w:lang w:val="de-DE"/>
              </w:rPr>
              <w:t>動</w:t>
            </w:r>
            <w:r w:rsidRPr="00E007D5">
              <w:rPr>
                <w:rFonts w:hAnsi="標楷體"/>
                <w:color w:val="000000"/>
                <w:lang w:val="de-DE"/>
              </w:rPr>
              <w:t>的發展所造就的「思想革命」</w:t>
            </w:r>
            <w:r w:rsidR="00337AE9">
              <w:rPr>
                <w:rFonts w:ascii="新細明體" w:hAnsi="新細明體" w:hint="eastAsia"/>
                <w:color w:val="000000"/>
                <w:lang w:val="de-DE"/>
              </w:rPr>
              <w:t>、</w:t>
            </w:r>
            <w:r>
              <w:rPr>
                <w:rFonts w:hAnsi="標楷體"/>
                <w:color w:val="000000"/>
                <w:lang w:val="de-DE"/>
              </w:rPr>
              <w:t>巴洛克</w:t>
            </w:r>
            <w:r>
              <w:rPr>
                <w:rFonts w:hAnsi="標楷體" w:hint="eastAsia"/>
                <w:color w:val="000000"/>
                <w:lang w:val="de-DE"/>
              </w:rPr>
              <w:t>暨</w:t>
            </w:r>
            <w:r w:rsidRPr="00E007D5">
              <w:rPr>
                <w:rFonts w:hAnsi="標楷體"/>
                <w:color w:val="000000"/>
                <w:lang w:val="de-DE"/>
              </w:rPr>
              <w:t>洛可可文化的盛況，</w:t>
            </w:r>
            <w:r w:rsidR="00337AE9">
              <w:rPr>
                <w:rFonts w:hAnsi="標楷體" w:hint="eastAsia"/>
                <w:color w:val="000000"/>
                <w:lang w:val="de-DE"/>
              </w:rPr>
              <w:t>乃至於</w:t>
            </w:r>
            <w:r w:rsidR="004460FE">
              <w:rPr>
                <w:rFonts w:hAnsi="標楷體" w:hint="eastAsia"/>
                <w:color w:val="000000"/>
                <w:lang w:val="de-DE"/>
              </w:rPr>
              <w:t>工</w:t>
            </w:r>
            <w:r w:rsidRPr="00E007D5">
              <w:rPr>
                <w:rFonts w:hAnsi="標楷體"/>
                <w:color w:val="000000"/>
                <w:lang w:val="de-DE"/>
              </w:rPr>
              <w:t>業革命</w:t>
            </w:r>
            <w:r w:rsidRPr="00E007D5">
              <w:rPr>
                <w:rFonts w:ascii="標楷體" w:hAnsi="標楷體" w:hint="eastAsia"/>
                <w:color w:val="000000"/>
                <w:lang w:val="de-DE"/>
              </w:rPr>
              <w:t>的</w:t>
            </w:r>
            <w:r>
              <w:rPr>
                <w:rFonts w:hint="eastAsia"/>
                <w:color w:val="000000"/>
                <w:lang w:val="de-DE"/>
              </w:rPr>
              <w:t>開展等等，都對日後全球的歷史發展造成極為深遠影響，並基本上型塑了今日世界政治</w:t>
            </w:r>
            <w:r>
              <w:rPr>
                <w:rFonts w:ascii="新細明體" w:hAnsi="新細明體" w:hint="eastAsia"/>
                <w:color w:val="000000"/>
                <w:lang w:val="de-DE"/>
              </w:rPr>
              <w:t>、</w:t>
            </w:r>
            <w:r>
              <w:rPr>
                <w:rFonts w:hint="eastAsia"/>
                <w:color w:val="000000"/>
                <w:lang w:val="de-DE"/>
              </w:rPr>
              <w:t>經濟</w:t>
            </w:r>
            <w:r w:rsidRPr="00E01EFA">
              <w:rPr>
                <w:rFonts w:ascii="標楷體" w:hAnsi="標楷體" w:hint="eastAsia"/>
                <w:color w:val="000000"/>
                <w:lang w:val="de-DE"/>
              </w:rPr>
              <w:t>及社</w:t>
            </w:r>
            <w:r>
              <w:rPr>
                <w:rFonts w:hint="eastAsia"/>
                <w:color w:val="000000"/>
                <w:lang w:val="de-DE"/>
              </w:rPr>
              <w:t>會等各方面的面貌</w:t>
            </w:r>
            <w:r>
              <w:rPr>
                <w:rFonts w:ascii="新細明體" w:hAnsi="新細明體"/>
              </w:rPr>
              <w:t>。</w:t>
            </w:r>
            <w:r>
              <w:rPr>
                <w:rFonts w:ascii="新細明體" w:hAnsi="新細明體" w:hint="eastAsia"/>
              </w:rPr>
              <w:t>因此本課程擬依上述重大歷史事件發生之先後而深入分析解說，期能逐步了解這三</w:t>
            </w:r>
            <w:proofErr w:type="gramStart"/>
            <w:r>
              <w:rPr>
                <w:rFonts w:ascii="新細明體" w:hAnsi="新細明體" w:hint="eastAsia"/>
              </w:rPr>
              <w:t>個</w:t>
            </w:r>
            <w:proofErr w:type="gramEnd"/>
            <w:r>
              <w:rPr>
                <w:rFonts w:ascii="新細明體" w:hAnsi="新細明體" w:hint="eastAsia"/>
              </w:rPr>
              <w:t>世紀重大事件的產生之因及其</w:t>
            </w:r>
            <w:proofErr w:type="gramStart"/>
            <w:r>
              <w:rPr>
                <w:rFonts w:ascii="新細明體" w:hAnsi="新細明體" w:hint="eastAsia"/>
              </w:rPr>
              <w:t>相互間的關聯</w:t>
            </w:r>
            <w:proofErr w:type="gramEnd"/>
            <w:r>
              <w:rPr>
                <w:rFonts w:ascii="新細明體" w:hAnsi="新細明體" w:hint="eastAsia"/>
              </w:rPr>
              <w:t>性，從而明瞭日後世界歷史發展的脈絡軌跡</w:t>
            </w:r>
            <w:r>
              <w:rPr>
                <w:rFonts w:ascii="新細明體" w:hAnsi="新細明體"/>
              </w:rPr>
              <w:t>。</w:t>
            </w:r>
          </w:p>
          <w:p w:rsidR="00340BE7" w:rsidRDefault="00795FDC" w:rsidP="00795FDC">
            <w:pPr>
              <w:widowControl/>
              <w:ind w:firstLineChars="200" w:firstLine="480"/>
              <w:rPr>
                <w:color w:val="000000"/>
                <w:lang w:val="de-DE"/>
              </w:rPr>
            </w:pPr>
            <w:r>
              <w:rPr>
                <w:rFonts w:hint="eastAsia"/>
                <w:color w:val="000000"/>
              </w:rPr>
              <w:t>本課程</w:t>
            </w:r>
            <w:r w:rsidR="00340BE7">
              <w:rPr>
                <w:rFonts w:hint="eastAsia"/>
                <w:color w:val="000000"/>
              </w:rPr>
              <w:t>為學年課程，</w:t>
            </w:r>
            <w:r w:rsidR="007839C1">
              <w:rPr>
                <w:rFonts w:hint="eastAsia"/>
                <w:color w:val="000000"/>
              </w:rPr>
              <w:t>預計</w:t>
            </w:r>
            <w:r w:rsidR="00340BE7">
              <w:rPr>
                <w:rFonts w:hint="eastAsia"/>
                <w:color w:val="000000"/>
              </w:rPr>
              <w:t>分上下兩學期授課。</w:t>
            </w:r>
          </w:p>
          <w:p w:rsidR="007C7973" w:rsidRPr="000B2C01" w:rsidRDefault="00275E60" w:rsidP="00FA5ED8">
            <w:pPr>
              <w:widowControl/>
              <w:ind w:firstLineChars="200" w:firstLine="480"/>
              <w:jc w:val="both"/>
              <w:rPr>
                <w:color w:val="000000"/>
                <w:lang w:val="de-DE"/>
              </w:rPr>
            </w:pPr>
            <w:r>
              <w:rPr>
                <w:rFonts w:hint="eastAsia"/>
                <w:color w:val="000000"/>
              </w:rPr>
              <w:t>上學期部分，</w:t>
            </w:r>
            <w:r w:rsidRPr="00E007D5">
              <w:rPr>
                <w:rFonts w:hAnsi="標楷體"/>
              </w:rPr>
              <w:t>首先</w:t>
            </w:r>
            <w:proofErr w:type="gramStart"/>
            <w:r w:rsidRPr="00E007D5">
              <w:rPr>
                <w:rFonts w:hAnsi="標楷體"/>
              </w:rPr>
              <w:t>從葡西</w:t>
            </w:r>
            <w:proofErr w:type="gramEnd"/>
            <w:r w:rsidRPr="00E007D5">
              <w:rPr>
                <w:rFonts w:hAnsi="標楷體"/>
              </w:rPr>
              <w:t>兩國的海外探險活動而導致的</w:t>
            </w:r>
            <w:r>
              <w:rPr>
                <w:rFonts w:hAnsi="標楷體"/>
              </w:rPr>
              <w:t>大航海時代，促進</w:t>
            </w:r>
            <w:r w:rsidRPr="00E007D5">
              <w:rPr>
                <w:rFonts w:hAnsi="標楷體"/>
              </w:rPr>
              <w:t>全球經貿的新形態，並造成歐洲列強競相向海外擴張的歷程。其次，宗教改革運動所引發的西歐教會分裂，以</w:t>
            </w:r>
            <w:r>
              <w:rPr>
                <w:rFonts w:hAnsi="標楷體"/>
              </w:rPr>
              <w:t>及各民族王國的興起和中央集權的強化，使得歐洲大一統</w:t>
            </w:r>
            <w:r>
              <w:rPr>
                <w:rFonts w:hAnsi="標楷體" w:hint="eastAsia"/>
              </w:rPr>
              <w:t>教會</w:t>
            </w:r>
            <w:r w:rsidRPr="00E007D5">
              <w:rPr>
                <w:rFonts w:hAnsi="標楷體"/>
              </w:rPr>
              <w:t>及帝國的想法一去不回。隨後下一個世紀的三十年戰爭中，各國合縱連橫的發展，使得國際政治趨於複雜，致而出現「列國制度」的現象</w:t>
            </w:r>
            <w:r>
              <w:rPr>
                <w:rFonts w:hAnsi="標楷體"/>
              </w:rPr>
              <w:t>，並進而建立</w:t>
            </w:r>
            <w:r w:rsidRPr="00E007D5">
              <w:rPr>
                <w:rFonts w:hAnsi="標楷體"/>
              </w:rPr>
              <w:t>「國際社會」的新局面，使得國際法的發展成為必然現象</w:t>
            </w:r>
            <w:r>
              <w:rPr>
                <w:rFonts w:hAnsi="標楷體"/>
              </w:rPr>
              <w:t>。</w:t>
            </w: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43717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增廣</w:t>
            </w:r>
            <w:r w:rsidR="003071CC">
              <w:rPr>
                <w:rFonts w:ascii="新細明體" w:hAnsi="新細明體" w:cs="新細明體" w:hint="eastAsia"/>
                <w:kern w:val="0"/>
                <w:lang w:eastAsia="zh-HK"/>
              </w:rPr>
              <w:t>歷史</w:t>
            </w:r>
            <w:r>
              <w:rPr>
                <w:rFonts w:ascii="新細明體" w:hAnsi="新細明體" w:cs="新細明體"/>
                <w:kern w:val="0"/>
              </w:rPr>
              <w:t>視野，建構起對</w:t>
            </w:r>
            <w:r w:rsidR="00795FDC">
              <w:rPr>
                <w:rFonts w:ascii="新細明體" w:hAnsi="新細明體" w:cs="新細明體"/>
                <w:kern w:val="0"/>
              </w:rPr>
              <w:t>歐</w:t>
            </w:r>
            <w:r w:rsidR="008C633D">
              <w:rPr>
                <w:rFonts w:ascii="新細明體" w:hAnsi="新細明體" w:cs="新細明體" w:hint="eastAsia"/>
                <w:kern w:val="0"/>
              </w:rPr>
              <w:t>洲</w:t>
            </w:r>
            <w:r w:rsidR="00795FDC">
              <w:rPr>
                <w:rFonts w:ascii="新細明體" w:hAnsi="新細明體" w:cs="新細明體"/>
                <w:kern w:val="0"/>
              </w:rPr>
              <w:t>歷史的基本知識。</w:t>
            </w: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2C01" w:rsidRDefault="00814752" w:rsidP="000B2C01">
            <w:pPr>
              <w:widowControl/>
              <w:jc w:val="both"/>
              <w:rPr>
                <w:color w:val="000000"/>
                <w:lang w:val="de-DE"/>
              </w:rPr>
            </w:pPr>
            <w:r w:rsidRPr="00534930">
              <w:rPr>
                <w:rFonts w:hint="eastAsia"/>
                <w:color w:val="000000"/>
                <w:lang w:val="de-DE"/>
              </w:rPr>
              <w:t xml:space="preserve">1. </w:t>
            </w:r>
            <w:r w:rsidR="000B2C01">
              <w:rPr>
                <w:color w:val="000000"/>
                <w:lang w:val="de-DE"/>
              </w:rPr>
              <w:t xml:space="preserve">Heinz Schilling, </w:t>
            </w:r>
            <w:r w:rsidR="000B2C01" w:rsidRPr="00F342F3">
              <w:rPr>
                <w:i/>
                <w:color w:val="000000"/>
                <w:lang w:val="de-DE"/>
              </w:rPr>
              <w:t>Die neue Zeit: Vom Christenheitseuropa zum Europa der Staaten 1250 bis 1750</w:t>
            </w:r>
            <w:r w:rsidR="000B2C01">
              <w:rPr>
                <w:color w:val="000000"/>
                <w:lang w:val="de-DE"/>
              </w:rPr>
              <w:t xml:space="preserve"> (Berlin: Wolf Jobst Siedler Verlag GmbH, 1996).</w:t>
            </w:r>
          </w:p>
          <w:p w:rsidR="000B2C01" w:rsidRDefault="000B2C01" w:rsidP="00F342F3">
            <w:pPr>
              <w:widowControl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2. Hagen Schulze, </w:t>
            </w:r>
            <w:r w:rsidRPr="00F342F3">
              <w:rPr>
                <w:i/>
                <w:color w:val="000000"/>
                <w:lang w:val="de-DE"/>
              </w:rPr>
              <w:t>Phoenix Europe: Die Moderne von 1740 bis heute</w:t>
            </w:r>
            <w:r>
              <w:rPr>
                <w:color w:val="000000"/>
                <w:lang w:val="de-DE"/>
              </w:rPr>
              <w:t xml:space="preserve"> (</w:t>
            </w:r>
            <w:r w:rsidR="00F342F3">
              <w:rPr>
                <w:color w:val="000000"/>
                <w:lang w:val="de-DE"/>
              </w:rPr>
              <w:t>Berlin: Wolf Jobst Siedler Verlag GmbH, 1998</w:t>
            </w:r>
            <w:r>
              <w:rPr>
                <w:color w:val="000000"/>
                <w:lang w:val="de-DE"/>
              </w:rPr>
              <w:t>).</w:t>
            </w:r>
          </w:p>
          <w:p w:rsidR="007C7973" w:rsidRPr="00534930" w:rsidRDefault="00F342F3" w:rsidP="00814752">
            <w:pPr>
              <w:widowControl/>
              <w:rPr>
                <w:lang w:val="de-DE"/>
              </w:rPr>
            </w:pPr>
            <w:r>
              <w:rPr>
                <w:color w:val="000000"/>
                <w:lang w:val="de-DE"/>
              </w:rPr>
              <w:t>3</w:t>
            </w:r>
            <w:r w:rsidR="000B2C01">
              <w:rPr>
                <w:color w:val="000000"/>
                <w:lang w:val="de-DE"/>
              </w:rPr>
              <w:t xml:space="preserve">. </w:t>
            </w:r>
            <w:r w:rsidR="00534930" w:rsidRPr="00534930">
              <w:rPr>
                <w:rFonts w:hint="eastAsia"/>
                <w:color w:val="000000"/>
                <w:lang w:val="de-DE"/>
              </w:rPr>
              <w:t xml:space="preserve">Michael Erbe, </w:t>
            </w:r>
            <w:r w:rsidR="00534930" w:rsidRPr="00534930">
              <w:rPr>
                <w:rFonts w:hint="eastAsia"/>
                <w:i/>
                <w:color w:val="000000"/>
                <w:lang w:val="de-DE"/>
              </w:rPr>
              <w:t>Die fr</w:t>
            </w:r>
            <w:r w:rsidR="00534930" w:rsidRPr="00534930">
              <w:rPr>
                <w:i/>
                <w:color w:val="000000"/>
                <w:lang w:val="de-DE"/>
              </w:rPr>
              <w:t>ü</w:t>
            </w:r>
            <w:r w:rsidR="00534930" w:rsidRPr="00534930">
              <w:rPr>
                <w:rFonts w:hint="eastAsia"/>
                <w:i/>
                <w:color w:val="000000"/>
                <w:lang w:val="de-DE"/>
              </w:rPr>
              <w:t>he Neu</w:t>
            </w:r>
            <w:r w:rsidR="00534930" w:rsidRPr="00534930">
              <w:rPr>
                <w:i/>
                <w:color w:val="000000"/>
                <w:lang w:val="de-DE"/>
              </w:rPr>
              <w:t>z</w:t>
            </w:r>
            <w:r w:rsidR="00534930" w:rsidRPr="00534930">
              <w:rPr>
                <w:rFonts w:hint="eastAsia"/>
                <w:i/>
                <w:color w:val="000000"/>
                <w:lang w:val="de-DE"/>
              </w:rPr>
              <w:t>eit</w:t>
            </w:r>
            <w:r w:rsidR="00534930">
              <w:rPr>
                <w:color w:val="000000"/>
                <w:lang w:val="de-DE"/>
              </w:rPr>
              <w:t xml:space="preserve"> </w:t>
            </w:r>
            <w:r w:rsidR="00534930" w:rsidRPr="00534930">
              <w:rPr>
                <w:color w:val="000000"/>
                <w:lang w:val="de-DE"/>
              </w:rPr>
              <w:t>(Stuttgart: Verlag W. Kohlhammer, 2007)</w:t>
            </w:r>
            <w:r w:rsidR="00534930">
              <w:rPr>
                <w:color w:val="000000"/>
                <w:lang w:val="de-DE"/>
              </w:rPr>
              <w:t>.</w:t>
            </w:r>
          </w:p>
          <w:p w:rsidR="007C7973" w:rsidRPr="000B2C01" w:rsidRDefault="00F342F3" w:rsidP="00F342F3">
            <w:pPr>
              <w:widowControl/>
              <w:jc w:val="both"/>
            </w:pPr>
            <w:r>
              <w:rPr>
                <w:rFonts w:hint="eastAsia"/>
              </w:rPr>
              <w:t>4</w:t>
            </w:r>
            <w:r w:rsidR="00814752" w:rsidRPr="000B2C01">
              <w:rPr>
                <w:rFonts w:hint="eastAsia"/>
              </w:rPr>
              <w:t xml:space="preserve">. </w:t>
            </w:r>
            <w:r w:rsidR="00F66651" w:rsidRPr="000B2C01">
              <w:t xml:space="preserve">H. G. </w:t>
            </w:r>
            <w:proofErr w:type="spellStart"/>
            <w:r w:rsidR="00F66651" w:rsidRPr="000B2C01">
              <w:t>Koenigsberger</w:t>
            </w:r>
            <w:proofErr w:type="spellEnd"/>
            <w:r w:rsidR="00F66651" w:rsidRPr="000B2C01">
              <w:t xml:space="preserve">, </w:t>
            </w:r>
            <w:r w:rsidR="00F66651" w:rsidRPr="000B2C01">
              <w:rPr>
                <w:i/>
              </w:rPr>
              <w:t>Early Modern Europe 1500-1789</w:t>
            </w:r>
            <w:r w:rsidR="00F66651" w:rsidRPr="000B2C01">
              <w:t xml:space="preserve"> (London and New York: Routledge, 1987).</w:t>
            </w:r>
          </w:p>
          <w:p w:rsidR="00814752" w:rsidRDefault="00F342F3" w:rsidP="00814752">
            <w:pPr>
              <w:adjustRightInd w:val="0"/>
              <w:snapToGrid w:val="0"/>
              <w:jc w:val="both"/>
            </w:pPr>
            <w:r>
              <w:t>5</w:t>
            </w:r>
            <w:r w:rsidR="00814752" w:rsidRPr="000B2C01">
              <w:t>.</w:t>
            </w:r>
            <w:r w:rsidR="00814752" w:rsidRPr="000B2C01">
              <w:rPr>
                <w:rFonts w:hint="eastAsia"/>
              </w:rPr>
              <w:t xml:space="preserve"> </w:t>
            </w:r>
            <w:r w:rsidR="002E1AF4" w:rsidRPr="000B2C01">
              <w:t xml:space="preserve">Merry E. </w:t>
            </w:r>
            <w:proofErr w:type="spellStart"/>
            <w:r w:rsidR="002E1AF4" w:rsidRPr="000B2C01">
              <w:t>Wiesner</w:t>
            </w:r>
            <w:proofErr w:type="spellEnd"/>
            <w:r w:rsidR="002E1AF4" w:rsidRPr="000B2C01">
              <w:t xml:space="preserve">-Hanks, </w:t>
            </w:r>
            <w:r w:rsidR="002E1AF4" w:rsidRPr="000B2C01">
              <w:rPr>
                <w:i/>
              </w:rPr>
              <w:t>Earl</w:t>
            </w:r>
            <w:r w:rsidR="002E1AF4" w:rsidRPr="002E1AF4">
              <w:rPr>
                <w:i/>
              </w:rPr>
              <w:t>y Modern Europe 1450-1789</w:t>
            </w:r>
            <w:r w:rsidR="002E1AF4">
              <w:t xml:space="preserve"> (New York: Cambridge University Press, second edition, 2013).</w:t>
            </w:r>
          </w:p>
          <w:p w:rsidR="00FA5ED8" w:rsidRPr="00534930" w:rsidRDefault="00FA5ED8" w:rsidP="00814752">
            <w:pPr>
              <w:adjustRightInd w:val="0"/>
              <w:snapToGrid w:val="0"/>
              <w:jc w:val="both"/>
              <w:rPr>
                <w:color w:val="000000"/>
                <w:lang w:eastAsia="zh-HK"/>
              </w:rPr>
            </w:pPr>
            <w:r>
              <w:t xml:space="preserve">6. </w:t>
            </w:r>
            <w:r>
              <w:rPr>
                <w:rFonts w:hint="eastAsia"/>
              </w:rPr>
              <w:t>P</w:t>
            </w:r>
            <w:r>
              <w:t>h</w:t>
            </w:r>
            <w:r>
              <w:rPr>
                <w:rFonts w:hint="eastAsia"/>
              </w:rPr>
              <w:t>i</w:t>
            </w:r>
            <w:r>
              <w:t xml:space="preserve">lip Lee Ralph, </w:t>
            </w:r>
            <w:r>
              <w:rPr>
                <w:rFonts w:hint="eastAsia"/>
                <w:lang w:eastAsia="zh-HK"/>
              </w:rPr>
              <w:t>薛克強譯</w:t>
            </w:r>
            <w:r>
              <w:rPr>
                <w:rFonts w:ascii="新細明體" w:hAnsi="新細明體" w:hint="eastAsia"/>
                <w:lang w:eastAsia="zh-HK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《</w:t>
            </w:r>
            <w:proofErr w:type="gramEnd"/>
            <w:r w:rsidRPr="00FA5ED8">
              <w:rPr>
                <w:rFonts w:ascii="新細明體" w:hAnsi="新細明體" w:hint="eastAsia"/>
                <w:lang w:eastAsia="zh-HK"/>
              </w:rPr>
              <w:t>世界文明史</w:t>
            </w:r>
            <w:r w:rsidRPr="00FA5ED8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FA5ED8">
              <w:rPr>
                <w:rFonts w:ascii="新細明體" w:hAnsi="新細明體" w:hint="eastAsia"/>
                <w:lang w:eastAsia="zh-HK"/>
              </w:rPr>
              <w:t>近代早期的世界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》</w:t>
            </w:r>
            <w:proofErr w:type="gramEnd"/>
            <w:r>
              <w:rPr>
                <w:rFonts w:ascii="新細明體" w:hAnsi="新細明體" w:hint="eastAsia"/>
                <w:lang w:eastAsia="zh-HK"/>
              </w:rPr>
              <w:t>，台北</w:t>
            </w:r>
            <w:r>
              <w:rPr>
                <w:rFonts w:ascii="標楷體" w:eastAsia="標楷體" w:hAnsi="標楷體" w:hint="eastAsia"/>
                <w:lang w:eastAsia="zh-HK"/>
              </w:rPr>
              <w:t>：</w:t>
            </w:r>
            <w:r>
              <w:rPr>
                <w:rFonts w:ascii="新細明體" w:hAnsi="新細明體" w:hint="eastAsia"/>
                <w:lang w:eastAsia="zh-HK"/>
              </w:rPr>
              <w:t>五南，</w:t>
            </w:r>
            <w:r w:rsidRPr="00FA5ED8">
              <w:t>2004</w:t>
            </w:r>
            <w:r w:rsidRPr="00FA5ED8">
              <w:rPr>
                <w:lang w:eastAsia="zh-HK"/>
              </w:rPr>
              <w:t>。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1912CB" w:rsidRPr="00017313" w:rsidRDefault="00795FDC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5708A4" w:rsidRPr="00017313" w:rsidRDefault="00795FD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1912CB" w:rsidRPr="00017313" w:rsidRDefault="00795FDC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9D4CE0" w:rsidRPr="00017313" w:rsidRDefault="00795FD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1912CB" w:rsidRPr="00017313" w:rsidRDefault="003731A5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="001912CB"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1912CB" w:rsidRPr="00017313" w:rsidRDefault="00795FDC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5708A4" w:rsidRPr="00017313" w:rsidRDefault="005708A4" w:rsidP="00017313">
            <w:pPr>
              <w:snapToGrid w:val="0"/>
              <w:spacing w:line="300" w:lineRule="exact"/>
              <w:ind w:firstLineChars="50" w:firstLine="120"/>
            </w:pPr>
            <w:bookmarkStart w:id="0" w:name="_GoBack"/>
            <w:bookmarkEnd w:id="0"/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795FDC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795FDC">
              <w:rPr>
                <w:rFonts w:ascii="新細明體" w:hAnsi="新細明體" w:cs="新細明體"/>
                <w:kern w:val="0"/>
              </w:rPr>
              <w:t>■</w:t>
            </w:r>
            <w:r w:rsidR="0036478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6.5pt" o:ole="">
                  <v:imagedata r:id="rId8" o:title=""/>
                </v:shape>
                <w:control r:id="rId9" w:name="HTMLCheckbox16" w:shapeid="_x0000_i104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795FDC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795FDC">
              <w:rPr>
                <w:rFonts w:ascii="新細明體" w:hAnsi="新細明體" w:cs="新細明體"/>
                <w:kern w:val="0"/>
              </w:rPr>
              <w:t>■</w:t>
            </w:r>
            <w:r w:rsidR="0036478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795FDC">
              <w:rPr>
                <w:rFonts w:ascii="新細明體" w:hAnsi="新細明體" w:cs="新細明體"/>
                <w:kern w:val="0"/>
              </w:rPr>
              <w:t>■</w:t>
            </w:r>
            <w:r w:rsidR="0036478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4C2AD2">
              <w:rPr>
                <w:rFonts w:ascii="新細明體" w:hAnsi="新細明體" w:cs="新細明體"/>
                <w:kern w:val="0"/>
              </w:rPr>
              <w:t>■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4C2AD2">
              <w:rPr>
                <w:rFonts w:ascii="新細明體" w:hAnsi="新細明體" w:cs="新細明體" w:hint="eastAsia"/>
                <w:kern w:val="0"/>
              </w:rPr>
              <w:t>2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47" type="#_x0000_t75" style="width:20.25pt;height:16.5pt" o:ole="">
                  <v:imagedata r:id="rId8" o:title=""/>
                </v:shape>
                <w:control r:id="rId10" w:name="HTMLCheckbox12" w:shapeid="_x0000_i104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50" type="#_x0000_t75" style="width:20.25pt;height:16.5pt" o:ole="">
                  <v:imagedata r:id="rId8" o:title=""/>
                </v:shape>
                <w:control r:id="rId11" w:name="HTMLCheckbox11" w:shapeid="_x0000_i105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53" type="#_x0000_t75" style="width:20.25pt;height:16.5pt" o:ole="">
                  <v:imagedata r:id="rId8" o:title=""/>
                </v:shape>
                <w:control r:id="rId12" w:name="HTMLCheckbox10" w:shapeid="_x0000_i105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56" type="#_x0000_t75" style="width:20.25pt;height:16.5pt" o:ole="">
                  <v:imagedata r:id="rId8" o:title=""/>
                </v:shape>
                <w:control r:id="rId13" w:name="HTMLCheckbox9" w:shapeid="_x0000_i105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59" type="#_x0000_t75" style="width:20.25pt;height:16.5pt" o:ole="">
                  <v:imagedata r:id="rId8" o:title=""/>
                </v:shape>
                <w:control r:id="rId14" w:name="HTMLCheckbox8" w:shapeid="_x0000_i105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專案 0%, </w:t>
            </w:r>
            <w:r w:rsidR="004C2AD2">
              <w:rPr>
                <w:rFonts w:ascii="新細明體" w:hAnsi="新細明體" w:cs="新細明體"/>
                <w:kern w:val="0"/>
              </w:rPr>
              <w:t>■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FA5ED8">
              <w:rPr>
                <w:rFonts w:ascii="新細明體" w:hAnsi="新細明體" w:cs="新細明體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/>
                <w:kern w:val="0"/>
              </w:rPr>
              <w:t>■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FA5ED8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FA5ED8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</w:t>
            </w:r>
            <w:r w:rsidR="004C2AD2">
              <w:rPr>
                <w:rFonts w:ascii="新細明體" w:hAnsi="新細明體" w:cs="新細明體" w:hint="eastAsia"/>
                <w:kern w:val="0"/>
              </w:rPr>
              <w:t>2</w:t>
            </w:r>
            <w:r w:rsidR="007C7973">
              <w:rPr>
                <w:rFonts w:ascii="新細明體" w:hAnsi="新細明體" w:cs="新細明體"/>
                <w:kern w:val="0"/>
              </w:rPr>
              <w:t xml:space="preserve">0%, </w:t>
            </w:r>
            <w:r w:rsidR="007C7973">
              <w:rPr>
                <w:rFonts w:ascii="新細明體" w:hAnsi="新細明體" w:cs="新細明體"/>
                <w:kern w:val="0"/>
              </w:rPr>
              <w:object w:dxaOrig="225" w:dyaOrig="225">
                <v:shape id="_x0000_i1062" type="#_x0000_t75" style="width:20.25pt;height:16.5pt" o:ole="">
                  <v:imagedata r:id="rId8" o:title=""/>
                </v:shape>
                <w:control r:id="rId15" w:name="HTMLCheckbox4" w:shapeid="_x0000_i1062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C2AD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5" type="#_x0000_t75" style="width:20.25pt;height:16.5pt" o:ole="">
                  <v:imagedata r:id="rId8" o:title=""/>
                </v:shape>
                <w:control r:id="rId16" w:name="HTMLCheckbox3" w:shapeid="_x0000_i106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4C2AD2">
              <w:rPr>
                <w:rFonts w:ascii="新細明體" w:hAnsi="新細明體" w:cs="新細明體"/>
                <w:kern w:val="0"/>
              </w:rPr>
              <w:t>■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8" type="#_x0000_t75" style="width:20.25pt;height:16.5pt" o:ole="">
                  <v:imagedata r:id="rId8" o:title=""/>
                </v:shape>
                <w:control r:id="rId17" w:name="HTMLCheckbox1" w:shapeid="_x0000_i106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275E60" w:rsidRDefault="00275E60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lastRenderedPageBreak/>
              <w:t>上學期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：緒論：</w:t>
            </w:r>
            <w:r>
              <w:rPr>
                <w:rFonts w:hint="eastAsia"/>
                <w:color w:val="000000"/>
              </w:rPr>
              <w:t>世界史的斷代問題及近古史的時空範疇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>
              <w:rPr>
                <w:rFonts w:hint="eastAsia"/>
                <w:color w:val="000000"/>
              </w:rPr>
              <w:t>歐洲的擴張及大航海時代的開展</w:t>
            </w:r>
            <w:r w:rsidR="007762F7">
              <w:rPr>
                <w:rFonts w:hint="eastAsia"/>
                <w:color w:val="000000"/>
              </w:rPr>
              <w:t xml:space="preserve"> I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hint="eastAsia"/>
                <w:color w:val="000000"/>
              </w:rPr>
              <w:t>歐洲的擴張及大航海時代的開展</w:t>
            </w:r>
            <w:r w:rsidR="007762F7">
              <w:rPr>
                <w:rFonts w:hint="eastAsia"/>
                <w:color w:val="000000"/>
              </w:rPr>
              <w:t xml:space="preserve"> II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hint="eastAsia"/>
                <w:color w:val="000000"/>
              </w:rPr>
              <w:t>大航海時代對全球所造成的影響</w:t>
            </w:r>
          </w:p>
          <w:p w:rsidR="00275E60" w:rsidRPr="00FF5F1A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ascii="新細明體" w:hAnsi="新細明體" w:cs="新細明體" w:hint="eastAsia"/>
                <w:kern w:val="0"/>
              </w:rPr>
              <w:t>宗教改革運動及新舊教的分裂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第六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ascii="新細明體" w:hAnsi="新細明體" w:cs="新細明體" w:hint="eastAsia"/>
                <w:kern w:val="0"/>
              </w:rPr>
              <w:t>天主教會(舊教)的革新運動及宗教戰爭</w:t>
            </w:r>
          </w:p>
          <w:p w:rsidR="007762F7" w:rsidRPr="007762F7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第七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 w:rsidRPr="009C19A4">
              <w:rPr>
                <w:kern w:val="0"/>
              </w:rPr>
              <w:t>1560</w:t>
            </w:r>
            <w:r w:rsidR="007762F7" w:rsidRPr="009C19A4">
              <w:rPr>
                <w:rFonts w:hAnsi="新細明體"/>
                <w:kern w:val="0"/>
              </w:rPr>
              <w:t>至</w:t>
            </w:r>
            <w:r w:rsidR="007762F7" w:rsidRPr="009C19A4">
              <w:rPr>
                <w:kern w:val="0"/>
              </w:rPr>
              <w:t>1660</w:t>
            </w:r>
            <w:r w:rsidR="007762F7" w:rsidRPr="00FF5F1A">
              <w:rPr>
                <w:rFonts w:ascii="新細明體" w:hAnsi="新細明體" w:cs="新細明體" w:hint="eastAsia"/>
                <w:kern w:val="0"/>
              </w:rPr>
              <w:t>年</w:t>
            </w:r>
            <w:proofErr w:type="gramStart"/>
            <w:r w:rsidR="007762F7" w:rsidRPr="00FF5F1A">
              <w:rPr>
                <w:rFonts w:ascii="新細明體" w:hAnsi="新細明體" w:cs="新細明體"/>
                <w:kern w:val="0"/>
              </w:rPr>
              <w:t>—</w:t>
            </w:r>
            <w:proofErr w:type="gramEnd"/>
            <w:r w:rsidR="007762F7" w:rsidRPr="00FF5F1A">
              <w:rPr>
                <w:rFonts w:ascii="新細明體" w:hAnsi="新細明體" w:cs="新細明體" w:hint="eastAsia"/>
                <w:kern w:val="0"/>
              </w:rPr>
              <w:t xml:space="preserve">歐洲宗教及政治衝突下的百年動蕩時代  </w:t>
            </w:r>
            <w:r w:rsidR="007762F7" w:rsidRPr="00FF5F1A">
              <w:rPr>
                <w:kern w:val="0"/>
              </w:rPr>
              <w:t>I</w:t>
            </w:r>
          </w:p>
          <w:p w:rsidR="00275E60" w:rsidRPr="007762F7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第八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 w:rsidRPr="009C19A4">
              <w:rPr>
                <w:kern w:val="0"/>
              </w:rPr>
              <w:t>1560</w:t>
            </w:r>
            <w:r w:rsidR="007762F7" w:rsidRPr="009C19A4">
              <w:rPr>
                <w:rFonts w:hAnsi="新細明體"/>
                <w:kern w:val="0"/>
              </w:rPr>
              <w:t>至</w:t>
            </w:r>
            <w:r w:rsidR="007762F7" w:rsidRPr="009C19A4">
              <w:rPr>
                <w:kern w:val="0"/>
              </w:rPr>
              <w:t>1660</w:t>
            </w:r>
            <w:r w:rsidR="007762F7" w:rsidRPr="00FF5F1A">
              <w:rPr>
                <w:rFonts w:ascii="新細明體" w:hAnsi="新細明體" w:cs="新細明體" w:hint="eastAsia"/>
                <w:kern w:val="0"/>
              </w:rPr>
              <w:t>年</w:t>
            </w:r>
            <w:proofErr w:type="gramStart"/>
            <w:r w:rsidR="007762F7" w:rsidRPr="00FF5F1A">
              <w:rPr>
                <w:rFonts w:ascii="新細明體" w:hAnsi="新細明體" w:cs="新細明體"/>
                <w:kern w:val="0"/>
              </w:rPr>
              <w:t>—</w:t>
            </w:r>
            <w:proofErr w:type="gramEnd"/>
            <w:r w:rsidR="007762F7" w:rsidRPr="00FF5F1A">
              <w:rPr>
                <w:rFonts w:ascii="新細明體" w:hAnsi="新細明體" w:cs="新細明體" w:hint="eastAsia"/>
                <w:kern w:val="0"/>
              </w:rPr>
              <w:t xml:space="preserve">歐洲宗教及政治衝突下的百年動蕩時代  </w:t>
            </w:r>
            <w:r w:rsidR="007762F7" w:rsidRPr="00FF5F1A">
              <w:rPr>
                <w:kern w:val="0"/>
              </w:rPr>
              <w:t>II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：期中考</w:t>
            </w:r>
          </w:p>
          <w:p w:rsidR="00275E60" w:rsidRPr="007762F7" w:rsidRDefault="00275E60" w:rsidP="00275E60">
            <w:pPr>
              <w:widowControl/>
              <w:spacing w:line="500" w:lineRule="atLeast"/>
              <w:rPr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ascii="新細明體" w:hAnsi="新細明體" w:cs="新細明體" w:hint="eastAsia"/>
                <w:kern w:val="0"/>
              </w:rPr>
              <w:t xml:space="preserve">歐洲思想文化運動的開展：人文主義及其影響 </w:t>
            </w:r>
            <w:r w:rsidR="007762F7" w:rsidRPr="007762F7">
              <w:rPr>
                <w:kern w:val="0"/>
              </w:rPr>
              <w:t>I</w:t>
            </w:r>
          </w:p>
          <w:p w:rsidR="00275E60" w:rsidRPr="007762F7" w:rsidRDefault="00275E60" w:rsidP="00275E60">
            <w:pPr>
              <w:widowControl/>
              <w:spacing w:line="500" w:lineRule="atLeast"/>
              <w:rPr>
                <w:kern w:val="0"/>
              </w:rPr>
            </w:pPr>
            <w:r w:rsidRPr="007762F7">
              <w:rPr>
                <w:rFonts w:hAnsi="新細明體"/>
                <w:kern w:val="0"/>
              </w:rPr>
              <w:t>第十一</w:t>
            </w:r>
            <w:proofErr w:type="gramStart"/>
            <w:r w:rsidRPr="007762F7">
              <w:rPr>
                <w:rFonts w:hAnsi="新細明體"/>
                <w:kern w:val="0"/>
              </w:rPr>
              <w:t>週</w:t>
            </w:r>
            <w:proofErr w:type="gramEnd"/>
            <w:r w:rsidRPr="007762F7">
              <w:rPr>
                <w:rFonts w:hAnsi="新細明體"/>
                <w:kern w:val="0"/>
              </w:rPr>
              <w:t>：</w:t>
            </w:r>
            <w:r w:rsidR="007762F7" w:rsidRPr="007762F7">
              <w:rPr>
                <w:rFonts w:hAnsi="新細明體"/>
                <w:kern w:val="0"/>
              </w:rPr>
              <w:t>歐洲思想文化運動的開展：人文主義及其影響</w:t>
            </w:r>
            <w:r w:rsidR="007762F7" w:rsidRPr="007762F7">
              <w:rPr>
                <w:kern w:val="0"/>
              </w:rPr>
              <w:t xml:space="preserve"> II</w:t>
            </w:r>
          </w:p>
          <w:p w:rsidR="00275E60" w:rsidRPr="007762F7" w:rsidRDefault="00275E60" w:rsidP="00275E60">
            <w:pPr>
              <w:widowControl/>
              <w:spacing w:line="500" w:lineRule="atLeast"/>
              <w:rPr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：尼</w:t>
            </w:r>
            <w:r w:rsidR="009D762A">
              <w:rPr>
                <w:rFonts w:ascii="新細明體" w:hAnsi="新細明體" w:cs="新細明體" w:hint="eastAsia"/>
                <w:bCs/>
                <w:kern w:val="0"/>
              </w:rPr>
              <w:t>德蘭</w:t>
            </w:r>
            <w:r w:rsidRPr="001F3945">
              <w:rPr>
                <w:rFonts w:ascii="新細明體" w:hAnsi="新細明體" w:cs="新細明體" w:hint="eastAsia"/>
                <w:bCs/>
                <w:kern w:val="0"/>
              </w:rPr>
              <w:t>獨立革命</w:t>
            </w:r>
            <w:r>
              <w:rPr>
                <w:rFonts w:ascii="新細明體" w:hAnsi="新細明體" w:cs="新細明體" w:hint="eastAsia"/>
                <w:bCs/>
                <w:kern w:val="0"/>
              </w:rPr>
              <w:t>的</w:t>
            </w:r>
            <w:r w:rsidR="007762F7">
              <w:rPr>
                <w:rFonts w:ascii="新細明體" w:hAnsi="新細明體" w:cs="新細明體" w:hint="eastAsia"/>
                <w:bCs/>
                <w:kern w:val="0"/>
              </w:rPr>
              <w:t>爆發</w:t>
            </w:r>
            <w:r w:rsidR="007762F7">
              <w:rPr>
                <w:rFonts w:ascii="新細明體" w:hAnsi="新細明體" w:cs="新細明體"/>
                <w:bCs/>
                <w:kern w:val="0"/>
                <w:lang w:val="de-DE"/>
              </w:rPr>
              <w:t>及</w:t>
            </w:r>
            <w:r w:rsidR="007762F7">
              <w:rPr>
                <w:rFonts w:ascii="新細明體" w:hAnsi="新細明體" w:cs="新細明體" w:hint="eastAsia"/>
                <w:bCs/>
                <w:kern w:val="0"/>
              </w:rPr>
              <w:t>尼德</w:t>
            </w:r>
            <w:proofErr w:type="gramStart"/>
            <w:r w:rsidR="007762F7">
              <w:rPr>
                <w:rFonts w:ascii="新細明體" w:hAnsi="新細明體" w:cs="新細明體" w:hint="eastAsia"/>
                <w:bCs/>
                <w:kern w:val="0"/>
              </w:rPr>
              <w:t>蘭聯</w:t>
            </w:r>
            <w:proofErr w:type="gramEnd"/>
            <w:r w:rsidR="007762F7">
              <w:rPr>
                <w:rFonts w:ascii="新細明體" w:hAnsi="新細明體" w:cs="新細明體" w:hint="eastAsia"/>
                <w:bCs/>
                <w:kern w:val="0"/>
              </w:rPr>
              <w:t>省共和國的建立</w:t>
            </w:r>
          </w:p>
          <w:p w:rsidR="00275E60" w:rsidRPr="00275E60" w:rsidRDefault="00275E60" w:rsidP="00275E60">
            <w:pPr>
              <w:widowControl/>
              <w:spacing w:line="500" w:lineRule="atLeast"/>
              <w:rPr>
                <w:kern w:val="0"/>
              </w:rPr>
            </w:pPr>
            <w:r w:rsidRPr="00275E60">
              <w:rPr>
                <w:kern w:val="0"/>
              </w:rPr>
              <w:t>第十三</w:t>
            </w:r>
            <w:proofErr w:type="gramStart"/>
            <w:r w:rsidRPr="00275E60">
              <w:rPr>
                <w:kern w:val="0"/>
              </w:rPr>
              <w:t>週</w:t>
            </w:r>
            <w:proofErr w:type="gramEnd"/>
            <w:r w:rsidRPr="00275E60">
              <w:rPr>
                <w:kern w:val="0"/>
              </w:rPr>
              <w:t>：</w:t>
            </w:r>
            <w:r w:rsidRPr="00275E60">
              <w:rPr>
                <w:rFonts w:hAnsi="新細明體"/>
                <w:kern w:val="0"/>
              </w:rPr>
              <w:t>尼</w:t>
            </w:r>
            <w:r>
              <w:rPr>
                <w:rFonts w:hAnsi="新細明體"/>
                <w:bCs/>
                <w:kern w:val="0"/>
              </w:rPr>
              <w:t>德蘭的</w:t>
            </w:r>
            <w:r w:rsidRPr="00275E60">
              <w:rPr>
                <w:rFonts w:hAnsi="新細明體"/>
                <w:bCs/>
                <w:kern w:val="0"/>
              </w:rPr>
              <w:t>黃金時代</w:t>
            </w:r>
            <w:r w:rsidR="009D762A">
              <w:rPr>
                <w:bCs/>
                <w:kern w:val="0"/>
              </w:rPr>
              <w:t xml:space="preserve"> </w:t>
            </w:r>
            <w:r w:rsidRPr="00275E60">
              <w:rPr>
                <w:bCs/>
                <w:kern w:val="0"/>
              </w:rPr>
              <w:t>I</w:t>
            </w:r>
          </w:p>
          <w:p w:rsidR="00275E60" w:rsidRPr="009A35A9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9D762A" w:rsidRPr="00275E60">
              <w:rPr>
                <w:rFonts w:hAnsi="新細明體"/>
                <w:kern w:val="0"/>
              </w:rPr>
              <w:t>尼</w:t>
            </w:r>
            <w:r w:rsidR="009D762A">
              <w:rPr>
                <w:rFonts w:hAnsi="新細明體"/>
                <w:bCs/>
                <w:kern w:val="0"/>
              </w:rPr>
              <w:t>德蘭的</w:t>
            </w:r>
            <w:r w:rsidR="009D762A" w:rsidRPr="00275E60">
              <w:rPr>
                <w:rFonts w:hAnsi="新細明體"/>
                <w:bCs/>
                <w:kern w:val="0"/>
              </w:rPr>
              <w:t>黃金時代</w:t>
            </w:r>
            <w:r w:rsidR="009D762A">
              <w:rPr>
                <w:bCs/>
                <w:kern w:val="0"/>
              </w:rPr>
              <w:t xml:space="preserve"> </w:t>
            </w:r>
            <w:r w:rsidR="009D762A" w:rsidRPr="00275E60">
              <w:rPr>
                <w:bCs/>
                <w:kern w:val="0"/>
              </w:rPr>
              <w:t>I</w:t>
            </w:r>
            <w:r w:rsidR="009D762A">
              <w:rPr>
                <w:rFonts w:hint="eastAsia"/>
                <w:bCs/>
                <w:kern w:val="0"/>
              </w:rPr>
              <w:t>I</w:t>
            </w:r>
          </w:p>
          <w:p w:rsidR="00275E60" w:rsidRPr="00872DE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Pr="005F11CB">
              <w:rPr>
                <w:rFonts w:ascii="新細明體" w:hAnsi="新細明體" w:cs="新細明體" w:hint="eastAsia"/>
                <w:bCs/>
                <w:kern w:val="0"/>
              </w:rPr>
              <w:t>英格蘭都鐸王朝中央君主</w:t>
            </w:r>
            <w:r w:rsidR="009D762A">
              <w:rPr>
                <w:rFonts w:ascii="新細明體" w:hAnsi="新細明體" w:cs="新細明體" w:hint="eastAsia"/>
                <w:bCs/>
                <w:kern w:val="0"/>
              </w:rPr>
              <w:t>集權制的建立</w:t>
            </w:r>
          </w:p>
          <w:p w:rsidR="00275E60" w:rsidRPr="00872DE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 w:rsidRPr="00872DE0">
              <w:rPr>
                <w:rFonts w:ascii="新細明體" w:hAnsi="新細明體" w:cs="新細明體" w:hint="eastAsia"/>
                <w:kern w:val="0"/>
              </w:rPr>
              <w:t>第十六</w:t>
            </w:r>
            <w:proofErr w:type="gramStart"/>
            <w:r w:rsidRPr="00872DE0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872DE0"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ascii="新細明體" w:hAnsi="新細明體" w:cs="新細明體" w:hint="eastAsia"/>
                <w:kern w:val="0"/>
              </w:rPr>
              <w:t>不列顛內戰</w:t>
            </w:r>
            <w:r w:rsidR="007762F7">
              <w:rPr>
                <w:rFonts w:ascii="新細明體" w:hAnsi="新細明體" w:cs="新細明體" w:hint="eastAsia"/>
                <w:bCs/>
                <w:kern w:val="0"/>
              </w:rPr>
              <w:t>與立憲</w:t>
            </w:r>
            <w:r w:rsidR="009D762A" w:rsidRPr="005F11CB">
              <w:rPr>
                <w:rFonts w:ascii="新細明體" w:hAnsi="新細明體" w:cs="新細明體" w:hint="eastAsia"/>
                <w:bCs/>
                <w:kern w:val="0"/>
              </w:rPr>
              <w:t>君主制的</w:t>
            </w:r>
            <w:r w:rsidR="009D762A">
              <w:rPr>
                <w:rFonts w:ascii="新細明體" w:hAnsi="新細明體" w:cs="新細明體" w:hint="eastAsia"/>
                <w:bCs/>
                <w:kern w:val="0"/>
              </w:rPr>
              <w:t xml:space="preserve">發展 </w:t>
            </w:r>
            <w:r w:rsidR="009D762A" w:rsidRPr="00275E60">
              <w:rPr>
                <w:bCs/>
                <w:kern w:val="0"/>
              </w:rPr>
              <w:t>I</w:t>
            </w:r>
          </w:p>
          <w:p w:rsidR="00275E60" w:rsidRDefault="00275E60" w:rsidP="00275E60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第十七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7762F7">
              <w:rPr>
                <w:rFonts w:ascii="新細明體" w:hAnsi="新細明體" w:cs="新細明體" w:hint="eastAsia"/>
                <w:bCs/>
                <w:kern w:val="0"/>
              </w:rPr>
              <w:t>不列顛內戰與立憲</w:t>
            </w:r>
            <w:r w:rsidR="009D762A" w:rsidRPr="005F11CB">
              <w:rPr>
                <w:rFonts w:ascii="新細明體" w:hAnsi="新細明體" w:cs="新細明體" w:hint="eastAsia"/>
                <w:bCs/>
                <w:kern w:val="0"/>
              </w:rPr>
              <w:t>君主制的</w:t>
            </w:r>
            <w:r w:rsidR="009D762A">
              <w:rPr>
                <w:rFonts w:ascii="新細明體" w:hAnsi="新細明體" w:cs="新細明體" w:hint="eastAsia"/>
                <w:bCs/>
                <w:kern w:val="0"/>
              </w:rPr>
              <w:t xml:space="preserve">發展 </w:t>
            </w:r>
            <w:r w:rsidR="009D762A" w:rsidRPr="00275E60">
              <w:rPr>
                <w:bCs/>
                <w:kern w:val="0"/>
              </w:rPr>
              <w:t>I</w:t>
            </w:r>
            <w:r w:rsidR="009D762A">
              <w:rPr>
                <w:rFonts w:hint="eastAsia"/>
                <w:bCs/>
                <w:kern w:val="0"/>
              </w:rPr>
              <w:t>I</w:t>
            </w:r>
          </w:p>
          <w:p w:rsidR="009C7CCE" w:rsidRPr="00F342F3" w:rsidRDefault="00275E60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 期末考</w:t>
            </w:r>
          </w:p>
        </w:tc>
      </w:tr>
    </w:tbl>
    <w:p w:rsidR="0017619C" w:rsidRDefault="0017619C">
      <w:pPr>
        <w:spacing w:line="800" w:lineRule="atLeast"/>
      </w:pPr>
    </w:p>
    <w:sectPr w:rsidR="0017619C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C1" w:rsidRDefault="005D51C1" w:rsidP="005D51C1">
      <w:r>
        <w:separator/>
      </w:r>
    </w:p>
  </w:endnote>
  <w:endnote w:type="continuationSeparator" w:id="0">
    <w:p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C1" w:rsidRDefault="005D51C1" w:rsidP="005D51C1">
      <w:r>
        <w:separator/>
      </w:r>
    </w:p>
  </w:footnote>
  <w:footnote w:type="continuationSeparator" w:id="0">
    <w:p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017313"/>
    <w:rsid w:val="000635FE"/>
    <w:rsid w:val="000725A5"/>
    <w:rsid w:val="00097281"/>
    <w:rsid w:val="000A5ECF"/>
    <w:rsid w:val="000B2C01"/>
    <w:rsid w:val="000F024C"/>
    <w:rsid w:val="001676B9"/>
    <w:rsid w:val="0017619C"/>
    <w:rsid w:val="001912CB"/>
    <w:rsid w:val="001D0DC5"/>
    <w:rsid w:val="001E3D57"/>
    <w:rsid w:val="001F3945"/>
    <w:rsid w:val="00275E60"/>
    <w:rsid w:val="002E1AF4"/>
    <w:rsid w:val="003071CC"/>
    <w:rsid w:val="00337AE9"/>
    <w:rsid w:val="00340BE7"/>
    <w:rsid w:val="00361A7E"/>
    <w:rsid w:val="00364783"/>
    <w:rsid w:val="00371540"/>
    <w:rsid w:val="003731A5"/>
    <w:rsid w:val="00435340"/>
    <w:rsid w:val="00437175"/>
    <w:rsid w:val="004460FE"/>
    <w:rsid w:val="00481469"/>
    <w:rsid w:val="004C2AD2"/>
    <w:rsid w:val="00523EAC"/>
    <w:rsid w:val="00534930"/>
    <w:rsid w:val="00541D9C"/>
    <w:rsid w:val="005708A4"/>
    <w:rsid w:val="005A1B83"/>
    <w:rsid w:val="005A3E5B"/>
    <w:rsid w:val="005C3938"/>
    <w:rsid w:val="005D51C1"/>
    <w:rsid w:val="005F11CB"/>
    <w:rsid w:val="00620A72"/>
    <w:rsid w:val="00625BAF"/>
    <w:rsid w:val="00697232"/>
    <w:rsid w:val="006F4FE4"/>
    <w:rsid w:val="007762F7"/>
    <w:rsid w:val="007839C1"/>
    <w:rsid w:val="007907F7"/>
    <w:rsid w:val="00795FDC"/>
    <w:rsid w:val="007C7973"/>
    <w:rsid w:val="00814752"/>
    <w:rsid w:val="0083597D"/>
    <w:rsid w:val="00872DE0"/>
    <w:rsid w:val="008C633D"/>
    <w:rsid w:val="00904AFF"/>
    <w:rsid w:val="00904D1D"/>
    <w:rsid w:val="009A35A9"/>
    <w:rsid w:val="009C19A4"/>
    <w:rsid w:val="009C7CCE"/>
    <w:rsid w:val="009D4CE0"/>
    <w:rsid w:val="009D762A"/>
    <w:rsid w:val="009F4691"/>
    <w:rsid w:val="00A66A96"/>
    <w:rsid w:val="00AF0D4F"/>
    <w:rsid w:val="00B3639E"/>
    <w:rsid w:val="00B64490"/>
    <w:rsid w:val="00BA4E7E"/>
    <w:rsid w:val="00BB0B0D"/>
    <w:rsid w:val="00CA0FBD"/>
    <w:rsid w:val="00CC549C"/>
    <w:rsid w:val="00CC5B36"/>
    <w:rsid w:val="00D05921"/>
    <w:rsid w:val="00D13C6A"/>
    <w:rsid w:val="00D45362"/>
    <w:rsid w:val="00DA1F00"/>
    <w:rsid w:val="00DB7690"/>
    <w:rsid w:val="00EA7151"/>
    <w:rsid w:val="00F00D54"/>
    <w:rsid w:val="00F02A13"/>
    <w:rsid w:val="00F342F3"/>
    <w:rsid w:val="00F66651"/>
    <w:rsid w:val="00F80AC9"/>
    <w:rsid w:val="00FA5ED8"/>
    <w:rsid w:val="00FC64C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1550</Words>
  <Characters>1148</Characters>
  <Application>Microsoft Office Word</Application>
  <DocSecurity>4</DocSecurity>
  <Lines>9</Lines>
  <Paragraphs>5</Paragraphs>
  <ScaleCrop>false</ScaleCrop>
  <Company>CCU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admmhl</cp:lastModifiedBy>
  <cp:revision>2</cp:revision>
  <cp:lastPrinted>2013-10-30T07:37:00Z</cp:lastPrinted>
  <dcterms:created xsi:type="dcterms:W3CDTF">2019-05-31T08:46:00Z</dcterms:created>
  <dcterms:modified xsi:type="dcterms:W3CDTF">2019-05-31T08:46:00Z</dcterms:modified>
</cp:coreProperties>
</file>