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rFonts w:ascii="DFKai-SB" w:cs="DFKai-SB" w:eastAsia="DFKai-SB" w:hAnsi="DFKai-SB"/>
          <w:b w:val="1"/>
          <w:color w:val="000000"/>
          <w:sz w:val="32"/>
          <w:szCs w:val="32"/>
        </w:rPr>
      </w:pPr>
      <w:r w:rsidDel="00000000" w:rsidR="00000000" w:rsidRPr="00000000">
        <w:rPr>
          <w:rFonts w:ascii="DFKai-SB" w:cs="DFKai-SB" w:eastAsia="DFKai-SB" w:hAnsi="DFKai-SB"/>
          <w:b w:val="1"/>
          <w:color w:val="000000"/>
          <w:sz w:val="32"/>
          <w:szCs w:val="32"/>
          <w:rtl w:val="0"/>
        </w:rPr>
        <w:t xml:space="preserve">最高行政法院111年度上字第561號判決評析</w:t>
      </w:r>
    </w:p>
    <w:p w:rsidR="00000000" w:rsidDel="00000000" w:rsidP="00000000" w:rsidRDefault="00000000" w:rsidRPr="00000000" w14:paraId="00000002">
      <w:pPr>
        <w:widowControl w:val="1"/>
        <w:jc w:val="center"/>
        <w:rPr>
          <w:rFonts w:ascii="DFKai-SB" w:cs="DFKai-SB" w:eastAsia="DFKai-SB" w:hAnsi="DFKai-SB"/>
        </w:rPr>
      </w:pPr>
      <w:r w:rsidDel="00000000" w:rsidR="00000000" w:rsidRPr="00000000">
        <w:rPr>
          <w:rFonts w:ascii="DFKai-SB" w:cs="DFKai-SB" w:eastAsia="DFKai-SB" w:hAnsi="DFKai-SB"/>
          <w:color w:val="000000"/>
          <w:rtl w:val="0"/>
        </w:rPr>
        <w:t xml:space="preserve">112學年度第2學期稅捐救濟專題研究（一）期末報告</w:t>
      </w:r>
      <w:r w:rsidDel="00000000" w:rsidR="00000000" w:rsidRPr="00000000">
        <w:rPr>
          <w:rtl w:val="0"/>
        </w:rPr>
      </w:r>
    </w:p>
    <w:p w:rsidR="00000000" w:rsidDel="00000000" w:rsidP="00000000" w:rsidRDefault="00000000" w:rsidRPr="00000000" w14:paraId="00000003">
      <w:pPr>
        <w:widowControl w:val="1"/>
        <w:jc w:val="center"/>
        <w:rPr>
          <w:rFonts w:ascii="DFKai-SB" w:cs="DFKai-SB" w:eastAsia="DFKai-SB" w:hAnsi="DFKai-SB"/>
        </w:rPr>
      </w:pPr>
      <w:r w:rsidDel="00000000" w:rsidR="00000000" w:rsidRPr="00000000">
        <w:rPr>
          <w:rFonts w:ascii="DFKai-SB" w:cs="DFKai-SB" w:eastAsia="DFKai-SB" w:hAnsi="DFKai-SB"/>
          <w:color w:val="000000"/>
          <w:rtl w:val="0"/>
        </w:rPr>
        <w:t xml:space="preserve">報告人：財經法律研究所一年級 612630006 李佳穎</w:t>
      </w:r>
      <w:r w:rsidDel="00000000" w:rsidR="00000000" w:rsidRPr="00000000">
        <w:rPr>
          <w:rtl w:val="0"/>
        </w:rPr>
      </w:r>
    </w:p>
    <w:p w:rsidR="00000000" w:rsidDel="00000000" w:rsidP="00000000" w:rsidRDefault="00000000" w:rsidRPr="00000000" w14:paraId="00000004">
      <w:pPr>
        <w:widowControl w:val="1"/>
        <w:jc w:val="center"/>
        <w:rPr>
          <w:rFonts w:ascii="DFKai-SB" w:cs="DFKai-SB" w:eastAsia="DFKai-SB" w:hAnsi="DFKai-SB"/>
        </w:rPr>
      </w:pPr>
      <w:r w:rsidDel="00000000" w:rsidR="00000000" w:rsidRPr="00000000">
        <w:rPr>
          <w:rFonts w:ascii="DFKai-SB" w:cs="DFKai-SB" w:eastAsia="DFKai-SB" w:hAnsi="DFKai-SB"/>
          <w:color w:val="000000"/>
          <w:rtl w:val="0"/>
        </w:rPr>
        <w:t xml:space="preserve">授課教授：林文舟教授 </w:t>
      </w:r>
      <w:r w:rsidDel="00000000" w:rsidR="00000000" w:rsidRPr="00000000">
        <w:rPr>
          <w:rtl w:val="0"/>
        </w:rPr>
      </w:r>
    </w:p>
    <w:p w:rsidR="00000000" w:rsidDel="00000000" w:rsidP="00000000" w:rsidRDefault="00000000" w:rsidRPr="00000000" w14:paraId="00000005">
      <w:pPr>
        <w:widowControl w:val="1"/>
        <w:rPr>
          <w:rFonts w:ascii="DFKai-SB" w:cs="DFKai-SB" w:eastAsia="DFKai-SB" w:hAnsi="DFKai-SB"/>
          <w:b w:val="1"/>
          <w:color w:val="000000"/>
          <w:sz w:val="32"/>
          <w:szCs w:val="32"/>
        </w:rPr>
      </w:pPr>
      <w:r w:rsidDel="00000000" w:rsidR="00000000" w:rsidRPr="00000000">
        <w:rPr>
          <w:rFonts w:ascii="DFKai-SB" w:cs="DFKai-SB" w:eastAsia="DFKai-SB" w:hAnsi="DFKai-SB"/>
          <w:b w:val="1"/>
          <w:color w:val="000000"/>
          <w:sz w:val="32"/>
          <w:szCs w:val="32"/>
          <w:rtl w:val="0"/>
        </w:rPr>
        <w:t xml:space="preserve">壹、案件概述</w:t>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上訴人(下稱甲)於2007年1月9日因買賣取得高雄市三○區長○段A及B地號土地（重劃前之地號，面積分別為 1,919.14、98.62平方公尺，以下分別稱A 土地及B土地，並合稱系爭土地）。 其因96年7月24日高市府都二字第 0960036065號公告，自2007年7月26日至 2009年7月25日禁止建築，致其無法使用。嗣於2008年9月10日檢附高雄市路外停車登記證，申請長○段A土地改依停車場用地稅率課徵地價稅，並經三民分處按停車登記證申請資料核准，自2008年起長○段A部分土地（面積942.22平方公尺） 按停車場用地稅率10‰課徵地價稅。甲再於2009年11月12日向高雄市政府申請廢止上開停車場登記證，三民分處遂核定原供停車場使用之長○段A部分土地自2010 年起改按一般用地稅率課徵地價稅（即全部面積按一般用地稅率課徵）。</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三民分處於2019年1月7日查得甲取得長○段B土地所有權時，該土地使用分區為「機關用地」，至2010年3月2日變更「車站專用區一」前，係屬公共設施保留地，符合土地稅法第19條</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0"/>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規定，爰更正長○段B土地自2007～2010年期地價稅改按6‰稅率課徵，並依稅捐稽徵法第28條規定加計利息退還甲溢繳之地價稅新臺幣（下同） 40,616元。系爭土地嗣於2009年11月10日至2019 年6月30日，又因交通部鐵路改建工程局 （2018年6月與交通部高速鐵路工程局整併為交通部鐵道局，下稱鐵道局）辦理98年度「臺鐵捷運化──高雄市區鐵路地下化計畫」高雄車站臨時軌及臨時站人行天橋工程（下稱高雄車站工程）需要徵用部分面積，且自被徵用時起即被鐵皮圍起， 致其無法為原來之使用而無收益，甲依土地稅減免規則第11條、第8條第1項第10款及第17條規定，以應免徵地價稅為由，申請退還系爭土地2009～2018年溢繳之地價稅。</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經三民分處查得長○段A部分土地（面積773.48平方公尺）及B全部土地 （下稱系爭徵用土地）業經鐵道局有償徵用且補償費已辦理發放完竣在案；又未被徵用部分建有房屋、設有收費停車場等情形，系爭土地雖為重劃區內土地，核與土地稅減免規則第17條</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1"/>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及第8條第1項第10款</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2"/>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免徵地價稅之規定不符，乃否准甲之申請，甲不服，提起訴願遭決定駁回，乃提起行政訴訟。</w:t>
      </w:r>
    </w:p>
    <w:p w:rsidR="00000000" w:rsidDel="00000000" w:rsidP="00000000" w:rsidRDefault="00000000" w:rsidRPr="00000000" w14:paraId="00000009">
      <w:pPr>
        <w:rPr>
          <w:rFonts w:ascii="DFKai-SB" w:cs="DFKai-SB" w:eastAsia="DFKai-SB" w:hAnsi="DFKai-SB"/>
          <w:b w:val="1"/>
          <w:color w:val="000000"/>
          <w:sz w:val="32"/>
          <w:szCs w:val="32"/>
        </w:rPr>
      </w:pPr>
      <w:r w:rsidDel="00000000" w:rsidR="00000000" w:rsidRPr="00000000">
        <w:rPr>
          <w:rFonts w:ascii="DFKai-SB" w:cs="DFKai-SB" w:eastAsia="DFKai-SB" w:hAnsi="DFKai-SB"/>
          <w:b w:val="1"/>
          <w:color w:val="000000"/>
          <w:sz w:val="32"/>
          <w:szCs w:val="32"/>
          <w:rtl w:val="0"/>
        </w:rPr>
        <w:t xml:space="preserve">貳、上訴人主張及法院見解</w:t>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上訴人主張</w:t>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系爭土地於2018年4月26日因土地重劃公告確定，分配予臺灣鐵路管理局（屬國有土地）所管理，並經內政部依平均地權條例第62條規定以原告非系爭土地所有權人，分別廢止及撤銷系爭徵用土地原核准徵用期間（2018年4月26日起至2019年6月30日止）及令原告應繳回已領之徵用價額757,349元、4,880,772元。</w:t>
      </w:r>
    </w:p>
    <w:p w:rsidR="00000000" w:rsidDel="00000000" w:rsidP="00000000" w:rsidRDefault="00000000" w:rsidRPr="00000000" w14:paraId="000000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系爭土地雖於2010年11月12日始依土地重劃公告結果辦妥登記，然其原因發生日期則為 2018年4月26日，依民法第759條規定，足認於2018年4月26日原因發生時，臺灣鐵路管理局實質已取得系爭土地之所有權利，只是須經登記後始得處分，但不影響其所有權人之資格，故縱使107年度系爭土地之土地登記謄本仍登記為甲所有，甲實際上已非系爭土地之所有權人，被告依土地登記謄本之記載即認定甲為系爭土地107年度之所有權人及地價稅之納稅義務人，實有違誤。</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法院見解</w:t>
      </w:r>
    </w:p>
    <w:p w:rsidR="00000000" w:rsidDel="00000000" w:rsidP="00000000" w:rsidRDefault="00000000" w:rsidRPr="00000000" w14:paraId="000000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土地稅法第14條：「已規定地價之土地，除依第22條規定課徵田賦者外，應課徵地價稅。」故土地原則上應課徵地價稅或田賦。如法令另有規定原應課徵地價稅或田賦之土地，予以減免地價稅或田賦者，則屬例外，而對於例外減免地價稅田賦法令規定之解釋應從嚴。依原判決認定之事實，系爭土地之使用分區於2010年3月2日依系爭都市計畫變更為「車站專用區一」，依系爭都市計畫書，車站專用區以整體開發作為車站設施、轉乘設施、行政機關、商務辦公、購 物、娛樂等多功能使用，兼具商業及車站公共服務性質，並應配置適當公共設施用地，該都市計畫至107年度止並未進一步訂定細部之土地使用分區，亦未載明「車站專用區一」中之公共設施用地為何。故，系爭土地之使用分區雖於2010年3月2日變更為「車站專用區一」，惟迄至2017 年地價稅課稅期間，並未經依都市計畫擬訂、變更程序及都市計畫法第42條劃設為公共設施用地，留待將來公用事業機構取得，故非公共設施保留地，與土地稅法第19條後段所定免徵地價稅之要件並非相符，原判決認定系爭土地於2010～2017年無該免稅規定之適用，亦無不合。</w:t>
      </w:r>
    </w:p>
    <w:p w:rsidR="00000000" w:rsidDel="00000000" w:rsidP="00000000" w:rsidRDefault="00000000" w:rsidRPr="00000000" w14:paraId="000000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第二審法院以憲法第7條所保障人民之平等權，在租稅行政領域，為課稅平等原則（稅捐負擔平等），其內涵包括依據納稅義務人個人之稅捐負擔能力課稅之 「量能課稅原則」。而法律或法規命令給予特定範圍納稅義務人減輕或免除租稅之優惠，係此「量能課稅原則」之例外，除必須基於正當理由而為差別待遇外，對於例外規定之法律或法規命令，亦應從嚴解釋，方能不違憲法第7條之平等原則。</w:t>
      </w:r>
    </w:p>
    <w:p w:rsidR="00000000" w:rsidDel="00000000" w:rsidP="00000000" w:rsidRDefault="00000000" w:rsidRPr="00000000" w14:paraId="000000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本件第一審以及第二審法院就公共設施保留地之認定，皆是參照財政部87年7 月15日台財稅字第871954380號函之見解，必須經過都市計畫法「指定」，亦即 在都市計畫明載其為公共設施用地，並留待將來各公用事業機構、各該管政府或鄉、鎮、縣轄市公所取得者。因此，雖然系爭土地於2010年時，土地使用分區變更為「車站專用區一」，但是由於至107年度止，高雄市政府並未進一步訂定細部之土地使用分區，即使系爭土地之部分於 2019年被徵用作高雄車站臨時軌及臨時站人行天橋工程並且以鐵皮圍起，仍不能符合公共設施保留地，無從適用減免地價稅之相關稅捐優惠。</w:t>
      </w:r>
    </w:p>
    <w:p w:rsidR="00000000" w:rsidDel="00000000" w:rsidP="00000000" w:rsidRDefault="00000000" w:rsidRPr="00000000" w14:paraId="00000011">
      <w:pPr>
        <w:rPr>
          <w:rFonts w:ascii="DFKai-SB" w:cs="DFKai-SB" w:eastAsia="DFKai-SB" w:hAnsi="DFKai-SB"/>
          <w:b w:val="1"/>
          <w:color w:val="000000"/>
          <w:sz w:val="32"/>
          <w:szCs w:val="32"/>
        </w:rPr>
      </w:pPr>
      <w:r w:rsidDel="00000000" w:rsidR="00000000" w:rsidRPr="00000000">
        <w:rPr>
          <w:rFonts w:ascii="DFKai-SB" w:cs="DFKai-SB" w:eastAsia="DFKai-SB" w:hAnsi="DFKai-SB"/>
          <w:b w:val="1"/>
          <w:color w:val="000000"/>
          <w:sz w:val="32"/>
          <w:szCs w:val="32"/>
          <w:rtl w:val="0"/>
        </w:rPr>
        <w:t xml:space="preserve">參、評析意見</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1"/>
          <w:i w:val="0"/>
          <w:smallCaps w:val="0"/>
          <w:strike w:val="0"/>
          <w:color w:val="000000"/>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法院認為本件不符合土地稅法第19條所規定的「都市計畫公共設施保留地」:</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第一審判決(高雄高等行政法院110年度訴字第52號行政判決)，法院採取財政部87年7月15日台財稅字第871954380號函之見解，認為「都市計畫法所稱『公共設施保留地』，依都市計畫法第48條至第51條之立法意旨，係指依同法所定都市計畫擬定、變更程序及同法第42條規定劃設之公共設施用地中，留待將來各公用事業機構、各該管政府或鄉、鎮、縣轄市公所取得者而言。」因此，必須經過都市計畫法「指定」之後，在都市計畫明載其為公共設施用地，並留待將來各公用事業機構、各該管政府或鄉、鎮、縣轄市公所取得者，始足認定其為公共設施保留地。</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件，系爭土地自2010年3月2日時雖經「高雄市都市計畫主要計畫（配合交通部『臺鐵捷運化－高雄市區鐵路地下化計畫』）案（第二階段：站區及站東）」都市計畫（下稱系爭都市計畫）發布後，土地使用分區變更為「車站專用區一」，但至107年度止高雄市政府並未進一步訂定細部之土地使用分區，亦未載明「車站專用區一」中之公共設施用地為何，因此系爭土地並未經指定為公共設施保留地，亦即非依法劃設為公共設施用地，自不符合土地稅法第17條之要件，無從享有免徵或減免地價稅之優惠。</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對於土地法第194條</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3"/>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所稱「保留徵收」概應免稅之規定，認為係指同法第92條第2項</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4"/>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及第213條</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5"/>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規定之情形；所稱保留徵收之土地，仍能為原來之使用者不能免稅之意，係指若依法律規定僅係限制土地使用，或仍能為原來之使用，而非依法律規定不能使用，即非本條所稱依法律限制不能使用之土地，仍不能免稅。又因土地容許使用項目多非僅單一，故此所稱不能使用，應係指完全或真正不能使用</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6"/>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故土地在保留徵收或依法律限制使用之期間，土地所有權人仍有依土地容許使用項目類型使用土地者，其土地賦稅，不得免徵。本件中，系爭土地除於2008～2009年間設有「○○○停車場」，嗣於2010～2012年間興建有門牌號重○街2-3號、重○街2-5號、重○街2-6號、重○街2之7號（甲所有，竣工日：2010年2月12日、2012年12月19日）共4間房屋，設有房屋稅籍並申請適用自用住宅稅率，至2019年8月29日始滅失；另屋前空地仍劃設停車格，張貼停車收費表，持續供收費停車場使用。是系爭徵土地於2009～2017年因徵用領有補償費，並無不能為原來之使用（持續徵用）而無收益（領有補償費）之情形；未徵用部分，亦有房屋建築及停車場等原來之使用，是原告於取得系爭土地後不論是否被徵用，或重劃期間應於何時起算，於2009～2017年間並無「事實上不能依法令允許使用之方式予以使用」之情形，且土地所有權人事實上亦在利用，即無「不能為原來之使用而無收益」之情，核與土地稅減免規則第17條前段</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7"/>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規定不符。</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本件第一審以及第二審法院就公共設施保留地之認定，皆是參照財政部87年7月15 日台財稅字第871954380 號函之見解，必須經過都市計畫法「指定」，亦即在都市計畫明載其為公共設施用地，並留待將來各公用事業機構、各該管政府或鄉、鎮、縣轄市公所取得者。因此，雖然系爭土地於2010年時，土地使用分區變更為「車站專用區一」，但是由於至107年度止，高雄市政府並未進一步訂定細部之土地使用分區，即使系爭土地之部分於2019年被徵用作高雄車站臨時軌及臨時站人行天橋工程並且以鐵皮圍起，仍不能符合公共設施保留地，無從適用減免地價稅之相關稅捐優惠。</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1"/>
          <w:i w:val="0"/>
          <w:smallCaps w:val="0"/>
          <w:strike w:val="0"/>
          <w:color w:val="000000"/>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認定是否為公共設施保留地，應採量能課稅原則:</w:t>
      </w:r>
    </w:p>
    <w:p w:rsidR="00000000" w:rsidDel="00000000" w:rsidP="00000000" w:rsidRDefault="00000000" w:rsidRPr="00000000" w14:paraId="0000001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量能課稅原則是指稅捐為無直接對待給付之公法上強行給付義務，其給付義務之有無及範圍，自然只能取決於納稅義務人之稅負能力。憲法第7條規定：「中華民國人民，無分男女、宗教、種族、階級、黨派，在法律上一律平等。」基於憲法平等原則之要求，不僅應對所有人民課徵租稅（普遍課徵），並且應對所有稅法所規定之納稅義務人，在法律上為相同之待遇，以相同之標準決定課稅基礎（平等課徵）。</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尤其稅捐為強制性且非對待給付之公法上債務，更應以平等課稅作為稅法之結構性原則與裁量基準，而平等原則於稅法之違憲審查上，所追求者並非指絕對、機械之形式上平等，而係保障人民在法律上地位實質平等，依租稅平等原則納稅義務人應按其實質稅負能力，負擔應負之稅捐，即所謂「量能課稅原則」之展現。實務上，大法官釋字第565號理由書</w:t>
      </w:r>
      <w:r w:rsidDel="00000000" w:rsidR="00000000" w:rsidRPr="00000000">
        <w:rPr>
          <w:rFonts w:ascii="DFKai-SB" w:cs="DFKai-SB" w:eastAsia="DFKai-SB" w:hAnsi="DFKai-SB"/>
          <w:b w:val="0"/>
          <w:i w:val="0"/>
          <w:smallCaps w:val="0"/>
          <w:strike w:val="0"/>
          <w:color w:val="000000"/>
          <w:sz w:val="24"/>
          <w:szCs w:val="24"/>
          <w:u w:val="none"/>
          <w:shd w:fill="auto" w:val="clear"/>
          <w:vertAlign w:val="superscript"/>
        </w:rPr>
        <w:footnoteReference w:customMarkFollows="0" w:id="8"/>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闡明量能課稅原則，且提及稅捐債權之課徵，應受憲法平等原則之限制，如有差別規定之適用時，仍應有正當之理由。</w:t>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國家對人民課徵租稅，並不給予直接等值之報償，或依人民享有之國家服務利益，決定其應繳納之等價稅額。租稅係人民對國家所為，無從獲得直接報償之強制性財產給付義務，倘此經濟負擔無法落實合理公平，則無以期待個別納稅義務人履行其義務。</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納稅者權利保護法第1條第1項明定：「為落實憲法生存權、工作權、財產權及其他相關基本權之保障，確保納保者權利，實現課稅公平及貫徹正當法律程序。」所謂「其他基本權」依立法理由指出係指營業自由、資訊自主權等其他自由權。除了自由權，納稅者權利保護法第5條由平等權出發，結合其他自由權明定：「納稅者依其實質負擔能力負擔稅捐。」由第1條第1項規定，再藉由第1條第2項規定：「關於納稅者權利之保護，於本法有特別規定時，優先適用本法之規定。」故從此稅法之解釋適用應優先適用納稅者權利保護法之規定。換言之，納稅者權利保護法係從納稅者基本權保障視角下，特別是量能平等負擔，實體上要確保納稅者自由基本權及量能平等負擔基本權。</w:t>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960" w:right="0" w:hanging="48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惟法律並非僅追求單一價值或原則之落實，倘稅法除了特定行政目的而設有租稅優惠或租稅特別負擔時，渠等規定所據者即非量能課稅原則，此時則應依比例原則檢視該政策目的之重要性是否優於量能課稅原則，使之不違反平等課稅之憲法要求，納稅者權利保護法第5條及第6條第1項之規定，即為此理：「納稅者依其實質負擔能力負擔稅捐，無合理之政策目的不得為差別待遇。」、「稅法或其他法律為特定政策所規定之租稅優惠，應明定實施年限並以達成合理之政策目的為限，不得過度。」如同本件相關之地價稅，其</w:t>
      </w:r>
      <w:r w:rsidDel="00000000" w:rsidR="00000000" w:rsidRPr="00000000">
        <w:rPr>
          <w:rFonts w:ascii="DFKai-SB" w:cs="DFKai-SB" w:eastAsia="DFKai-SB" w:hAnsi="DFKai-SB"/>
          <w:b w:val="0"/>
          <w:i w:val="0"/>
          <w:smallCaps w:val="0"/>
          <w:strike w:val="0"/>
          <w:color w:val="000000"/>
          <w:sz w:val="22"/>
          <w:szCs w:val="22"/>
          <w:u w:val="none"/>
          <w:shd w:fill="auto" w:val="clear"/>
          <w:vertAlign w:val="baseline"/>
          <w:rtl w:val="0"/>
        </w:rPr>
        <w:t xml:space="preserve">所設之不同稅率，原是依據潛在收益能力之差異而設，地價稅之課徵亦不得違反憲法所保障平等權意旨，應就土地潛在收益能力之課稅基礎，評估是否同等適用相關減免稅規定。</w:t>
      </w:r>
    </w:p>
    <w:p w:rsidR="00000000" w:rsidDel="00000000" w:rsidP="00000000" w:rsidRDefault="00000000" w:rsidRPr="00000000" w14:paraId="0000001D">
      <w:pPr>
        <w:rPr>
          <w:rFonts w:ascii="DFKai-SB" w:cs="DFKai-SB" w:eastAsia="DFKai-SB" w:hAnsi="DFKai-SB"/>
          <w:color w:val="000000"/>
        </w:rPr>
      </w:pPr>
      <w:r w:rsidDel="00000000" w:rsidR="00000000" w:rsidRPr="00000000">
        <w:rPr>
          <w:rFonts w:ascii="DFKai-SB" w:cs="DFKai-SB" w:eastAsia="DFKai-SB" w:hAnsi="DFKai-SB"/>
          <w:b w:val="1"/>
          <w:color w:val="000000"/>
          <w:sz w:val="32"/>
          <w:szCs w:val="32"/>
          <w:rtl w:val="0"/>
        </w:rPr>
        <w:t xml:space="preserve">肆、結論</w:t>
      </w:r>
      <w:r w:rsidDel="00000000" w:rsidR="00000000" w:rsidRPr="00000000">
        <w:rPr>
          <w:rtl w:val="0"/>
        </w:rPr>
      </w:r>
    </w:p>
    <w:p w:rsidR="00000000" w:rsidDel="00000000" w:rsidP="00000000" w:rsidRDefault="00000000" w:rsidRPr="00000000" w14:paraId="0000001E">
      <w:pPr>
        <w:rPr>
          <w:rFonts w:ascii="DFKai-SB" w:cs="DFKai-SB" w:eastAsia="DFKai-SB" w:hAnsi="DFKai-SB"/>
        </w:rPr>
      </w:pPr>
      <w:r w:rsidDel="00000000" w:rsidR="00000000" w:rsidRPr="00000000">
        <w:rPr>
          <w:rtl w:val="0"/>
        </w:rPr>
        <w:t xml:space="preserve">   </w:t>
      </w:r>
      <w:r w:rsidDel="00000000" w:rsidR="00000000" w:rsidRPr="00000000">
        <w:rPr>
          <w:rFonts w:ascii="DFKai-SB" w:cs="DFKai-SB" w:eastAsia="DFKai-SB" w:hAnsi="DFKai-SB"/>
          <w:rtl w:val="0"/>
        </w:rPr>
        <w:t xml:space="preserve">  依都市計畫法第24條規定，都市計畫地區範圍內，應視實際情況分別設置公共設施用地，這些公共設施用地包括道路、公園、綠地、廣場、兒童遊樂場、民用航空站、停車場所、河道、港埠、學校、社教機關、體育場所、市場、醫療衛生機構及機關、上下水道、郵政、電信、變電所、其他公用事業及嫌惡設施（如：垃圾處理場）等用地。而這些公共設施用地係將來需用之土地，在目前未需用前，預先呈請核定公布其徵收之範圍，並禁止土地所有權人妨礙徵收之使用，稱之為公共設施保留地。因此，公共設施保留地的所有權人於該土地被徵收前，其使用受到相當大的限制。為彌補其使用受到限制，稅法上給予若干優惠。</w:t>
      </w:r>
    </w:p>
    <w:p w:rsidR="00000000" w:rsidDel="00000000" w:rsidP="00000000" w:rsidRDefault="00000000" w:rsidRPr="00000000" w14:paraId="0000001F">
      <w:pPr>
        <w:rPr>
          <w:rFonts w:ascii="DFKai-SB" w:cs="DFKai-SB" w:eastAsia="DFKai-SB" w:hAnsi="DFKai-SB"/>
        </w:rPr>
      </w:pPr>
      <w:r w:rsidDel="00000000" w:rsidR="00000000" w:rsidRPr="00000000">
        <w:rPr>
          <w:rtl w:val="0"/>
        </w:rPr>
        <w:t xml:space="preserve">     </w:t>
      </w:r>
      <w:r w:rsidDel="00000000" w:rsidR="00000000" w:rsidRPr="00000000">
        <w:rPr>
          <w:rFonts w:ascii="DFKai-SB" w:cs="DFKai-SB" w:eastAsia="DFKai-SB" w:hAnsi="DFKai-SB"/>
          <w:rtl w:val="0"/>
        </w:rPr>
        <w:t xml:space="preserve">關於公共設施保留地於保留期間之使用限制，按都市計畫法第51條規定，經指定之公共設施保留地，不得為妨礙其指定目的之使用，但得繼續為原來之</w:t>
      </w:r>
    </w:p>
    <w:p w:rsidR="00000000" w:rsidDel="00000000" w:rsidP="00000000" w:rsidRDefault="00000000" w:rsidRPr="00000000" w14:paraId="00000020">
      <w:pPr>
        <w:rPr>
          <w:rFonts w:ascii="DFKai-SB" w:cs="DFKai-SB" w:eastAsia="DFKai-SB" w:hAnsi="DFKai-SB"/>
        </w:rPr>
      </w:pPr>
      <w:r w:rsidDel="00000000" w:rsidR="00000000" w:rsidRPr="00000000">
        <w:rPr>
          <w:rFonts w:ascii="DFKai-SB" w:cs="DFKai-SB" w:eastAsia="DFKai-SB" w:hAnsi="DFKai-SB"/>
          <w:rtl w:val="0"/>
        </w:rPr>
        <w:t xml:space="preserve">使用或改為妨礙目的較輕之使用，以及同法第50條得申請為臨時建築使用，但經地方政府通知開闢公共設施並限期拆除回復原狀時，應自行無條件拆除；不自行拆除者，予以強制拆除。學理上對公共設施保留地受有許多稅捐優惠之闡釋，是認為公共設施保留地於保留期間其使用受到限制，而對其所有權人衍生「特別犧牲」。於是，為減少其所受損失，土地稅法第19條乃藉由「稅捐優惠」之實施予以填補，亦即適用特別稅率而減免其稅負。</w:t>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DFKai-SB"/>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都市計畫公共設施保留地，在保留期間仍為建築使用者，除自用住宅用地依第十七條之規定外，統按千分之六計徵地價稅；其未作任何使用並與使用中之土地隔離者，免徵地價稅。</w:t>
      </w:r>
      <w:r w:rsidDel="00000000" w:rsidR="00000000" w:rsidRPr="00000000">
        <w:rPr>
          <w:rtl w:val="0"/>
        </w:rPr>
      </w:r>
    </w:p>
  </w:footnote>
  <w:footnote w:id="1">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區段徵收或重劃地區內土地，於辦理期間致無法耕作或不能為原來之使用而無收益者，其地價稅或田賦全免；辦理完成後，自完成之日起其地價稅或田賦減半徵收二年。</w:t>
      </w:r>
      <w:r w:rsidDel="00000000" w:rsidR="00000000" w:rsidRPr="00000000">
        <w:rPr>
          <w:rtl w:val="0"/>
        </w:rPr>
      </w:r>
    </w:p>
  </w:footnote>
  <w:footnote w:id="2">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無償供給政府機關、公立學校及軍事機關、部隊、學校使用之土地，在使用期間以內，全免私有土地減免地價稅或田賦。</w:t>
      </w:r>
      <w:r w:rsidDel="00000000" w:rsidR="00000000" w:rsidRPr="00000000">
        <w:rPr>
          <w:rtl w:val="0"/>
        </w:rPr>
      </w:r>
    </w:p>
  </w:footnote>
  <w:footnote w:id="3">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因保留征收或依法律限制不能使用之土地，應免稅。但在保留征收期內，仍能為原來之使用者，不在此限。</w:t>
      </w:r>
      <w:r w:rsidDel="00000000" w:rsidR="00000000" w:rsidRPr="00000000">
        <w:rPr>
          <w:rtl w:val="0"/>
        </w:rPr>
      </w:r>
    </w:p>
  </w:footnote>
  <w:footnote w:id="4">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 前項征收之土地，得分期征收，分區開放，未經開放之區域，得為保留征收，並限制其為妨礙都市計畫之使用。</w:t>
      </w:r>
    </w:p>
  </w:footnote>
  <w:footnote w:id="5">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因左列各款之一，得為保留征收。一、開闢交通路線。二、興辦公用事業。三、新設都市地域。四、國防設備。</w:t>
      </w:r>
      <w:r w:rsidDel="00000000" w:rsidR="00000000" w:rsidRPr="00000000">
        <w:rPr>
          <w:rtl w:val="0"/>
        </w:rPr>
      </w:r>
    </w:p>
  </w:footnote>
  <w:footnote w:id="6">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最高行政法院99年度判字第109號判決意旨參照。</w:t>
      </w:r>
      <w:r w:rsidDel="00000000" w:rsidR="00000000" w:rsidRPr="00000000">
        <w:rPr>
          <w:rtl w:val="0"/>
        </w:rPr>
      </w:r>
    </w:p>
  </w:footnote>
  <w:footnote w:id="7">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f9fbfb" w:val="clear"/>
          <w:vertAlign w:val="baseline"/>
          <w:rtl w:val="0"/>
        </w:rPr>
        <w:t xml:space="preserve">區段徵收或重劃地區內土地，於辦理期間致無法耕作或不能為原來之使用而無收益者，其地價稅或田賦全免。</w:t>
      </w:r>
      <w:r w:rsidDel="00000000" w:rsidR="00000000" w:rsidRPr="00000000">
        <w:rPr>
          <w:rtl w:val="0"/>
        </w:rPr>
      </w:r>
    </w:p>
  </w:footnote>
  <w:footnote w:id="8">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國家對人民稅捐之課徵及減免係依據法律所定要件或經法律具體明確授權行政機關發布之命令且具有正當理由而為合理之差別規定者，與租稅法定主義及平等原則即無違背。又釋字565號將租稅優惠界定為量能課稅原則之例外。</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60" w:hanging="480"/>
      </w:pPr>
      <w:rPr>
        <w:b w:val="0"/>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2">
    <w:lvl w:ilvl="0">
      <w:start w:val="1"/>
      <w:numFmt w:val="decimal"/>
      <w:lvlText w:val="%1、"/>
      <w:lvlJc w:val="left"/>
      <w:pPr>
        <w:ind w:left="480" w:hanging="480"/>
      </w:pPr>
      <w:rPr>
        <w:sz w:val="24"/>
        <w:szCs w:val="24"/>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3">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4">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5">
    <w:lvl w:ilvl="0">
      <w:start w:val="1"/>
      <w:numFmt w:val="decimal"/>
      <w:lvlText w:val="%1、"/>
      <w:lvlJc w:val="left"/>
      <w:pPr>
        <w:ind w:left="480" w:hanging="48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abstractNum w:abstractNumId="6">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7">
    <w:lvl w:ilvl="0">
      <w:start w:val="1"/>
      <w:numFmt w:val="decimal"/>
      <w:lvlText w:val="%1."/>
      <w:lvlJc w:val="left"/>
      <w:pPr>
        <w:ind w:left="960" w:hanging="48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