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61497" w14:textId="3C80D9FB" w:rsidR="008912E2" w:rsidRPr="00BA7754" w:rsidRDefault="00B87C70" w:rsidP="00BA7754">
      <w:pPr>
        <w:rPr>
          <w:b/>
          <w:bCs/>
        </w:rPr>
      </w:pPr>
      <w:r>
        <w:rPr>
          <w:rFonts w:hint="eastAsia"/>
        </w:rPr>
        <w:t>21</w:t>
      </w:r>
      <w:r w:rsidR="00CF105F">
        <w:rPr>
          <w:rFonts w:hint="eastAsia"/>
        </w:rPr>
        <w:t>、</w:t>
      </w:r>
      <w:proofErr w:type="gramStart"/>
      <w:r>
        <w:rPr>
          <w:rFonts w:hint="eastAsia"/>
        </w:rPr>
        <w:t>甲因與某夜店保安</w:t>
      </w:r>
      <w:proofErr w:type="gramEnd"/>
      <w:r>
        <w:rPr>
          <w:rFonts w:hint="eastAsia"/>
        </w:rPr>
        <w:t xml:space="preserve"> A</w:t>
      </w:r>
      <w:r>
        <w:rPr>
          <w:rFonts w:hint="eastAsia"/>
        </w:rPr>
        <w:t>、</w:t>
      </w:r>
      <w:r>
        <w:rPr>
          <w:rFonts w:hint="eastAsia"/>
        </w:rPr>
        <w:t xml:space="preserve">B </w:t>
      </w:r>
      <w:r>
        <w:rPr>
          <w:rFonts w:hint="eastAsia"/>
        </w:rPr>
        <w:t>發生衝突感覺受辱，乃透過不在場之</w:t>
      </w:r>
      <w:proofErr w:type="gramStart"/>
      <w:r>
        <w:rPr>
          <w:rFonts w:hint="eastAsia"/>
        </w:rPr>
        <w:t>司機乙以電</w:t>
      </w:r>
      <w:r w:rsidRPr="00B87C70">
        <w:rPr>
          <w:rFonts w:hint="eastAsia"/>
        </w:rPr>
        <w:t>話</w:t>
      </w:r>
      <w:proofErr w:type="gramEnd"/>
      <w:r>
        <w:rPr>
          <w:rFonts w:hint="eastAsia"/>
        </w:rPr>
        <w:t>聯絡甲之員工丙到場為甲出氣。接獲通知後，丙自行決定以通訊軟體糾集甲、</w:t>
      </w:r>
      <w:proofErr w:type="gramStart"/>
      <w:r>
        <w:rPr>
          <w:rFonts w:hint="eastAsia"/>
        </w:rPr>
        <w:t>乙均不認識</w:t>
      </w:r>
      <w:proofErr w:type="gramEnd"/>
      <w:r>
        <w:rPr>
          <w:rFonts w:hint="eastAsia"/>
        </w:rPr>
        <w:t>之網友到場助陣，網友們經輾轉通知約</w:t>
      </w:r>
      <w:r>
        <w:rPr>
          <w:rFonts w:hint="eastAsia"/>
        </w:rPr>
        <w:t xml:space="preserve"> 10 </w:t>
      </w:r>
      <w:r>
        <w:rPr>
          <w:rFonts w:hint="eastAsia"/>
        </w:rPr>
        <w:t>餘人到</w:t>
      </w:r>
      <w:r>
        <w:rPr>
          <w:rFonts w:hint="eastAsia"/>
        </w:rPr>
        <w:t xml:space="preserve"> </w:t>
      </w:r>
      <w:r>
        <w:rPr>
          <w:rFonts w:hint="eastAsia"/>
        </w:rPr>
        <w:t>場。不知何原因丙突然以現場之不鏽鋼立柱攻擊</w:t>
      </w:r>
      <w:r>
        <w:rPr>
          <w:rFonts w:hint="eastAsia"/>
        </w:rPr>
        <w:t xml:space="preserve"> A</w:t>
      </w:r>
      <w:r>
        <w:rPr>
          <w:rFonts w:hint="eastAsia"/>
        </w:rPr>
        <w:t>、</w:t>
      </w:r>
      <w:r>
        <w:rPr>
          <w:rFonts w:hint="eastAsia"/>
        </w:rPr>
        <w:t>B</w:t>
      </w:r>
      <w:r>
        <w:rPr>
          <w:rFonts w:hint="eastAsia"/>
        </w:rPr>
        <w:t>，致</w:t>
      </w:r>
      <w:r>
        <w:rPr>
          <w:rFonts w:hint="eastAsia"/>
        </w:rPr>
        <w:t xml:space="preserve"> A</w:t>
      </w:r>
      <w:r>
        <w:rPr>
          <w:rFonts w:hint="eastAsia"/>
        </w:rPr>
        <w:t>、</w:t>
      </w:r>
      <w:r>
        <w:rPr>
          <w:rFonts w:hint="eastAsia"/>
        </w:rPr>
        <w:t xml:space="preserve">B </w:t>
      </w:r>
      <w:r>
        <w:rPr>
          <w:rFonts w:hint="eastAsia"/>
        </w:rPr>
        <w:t>受傷。</w:t>
      </w:r>
      <w:r>
        <w:rPr>
          <w:rFonts w:hint="eastAsia"/>
        </w:rPr>
        <w:t xml:space="preserve"> </w:t>
      </w:r>
      <w:r>
        <w:rPr>
          <w:rFonts w:hint="eastAsia"/>
        </w:rPr>
        <w:t>甲與其</w:t>
      </w:r>
      <w:proofErr w:type="gramStart"/>
      <w:r>
        <w:rPr>
          <w:rFonts w:hint="eastAsia"/>
        </w:rPr>
        <w:t>餘在場</w:t>
      </w:r>
      <w:proofErr w:type="gramEnd"/>
      <w:r>
        <w:rPr>
          <w:rFonts w:hint="eastAsia"/>
        </w:rPr>
        <w:t xml:space="preserve"> </w:t>
      </w:r>
      <w:r w:rsidRPr="00B87C70">
        <w:rPr>
          <w:rFonts w:hint="eastAsia"/>
        </w:rPr>
        <w:t>10</w:t>
      </w:r>
      <w:r>
        <w:rPr>
          <w:rFonts w:hint="eastAsia"/>
        </w:rPr>
        <w:t xml:space="preserve"> </w:t>
      </w:r>
      <w:r>
        <w:rPr>
          <w:rFonts w:hint="eastAsia"/>
        </w:rPr>
        <w:t>餘人見狀，群情激動，</w:t>
      </w:r>
      <w:proofErr w:type="gramStart"/>
      <w:r>
        <w:rPr>
          <w:rFonts w:hint="eastAsia"/>
        </w:rPr>
        <w:t>與夜店內</w:t>
      </w:r>
      <w:proofErr w:type="gramEnd"/>
      <w:r>
        <w:rPr>
          <w:rFonts w:hint="eastAsia"/>
        </w:rPr>
        <w:t>之其他多名保安人員</w:t>
      </w:r>
      <w:proofErr w:type="gramStart"/>
      <w:r>
        <w:rPr>
          <w:rFonts w:hint="eastAsia"/>
        </w:rPr>
        <w:t>爆發多波肢體</w:t>
      </w:r>
      <w:proofErr w:type="gramEnd"/>
      <w:r>
        <w:rPr>
          <w:rFonts w:hint="eastAsia"/>
        </w:rPr>
        <w:t>衝突，到場處理之警員</w:t>
      </w:r>
      <w:r>
        <w:rPr>
          <w:rFonts w:hint="eastAsia"/>
        </w:rPr>
        <w:t xml:space="preserve"> C </w:t>
      </w:r>
      <w:r>
        <w:rPr>
          <w:rFonts w:hint="eastAsia"/>
        </w:rPr>
        <w:t>在混亂中傷重死亡。試分析甲、乙、</w:t>
      </w:r>
      <w:r>
        <w:rPr>
          <w:rFonts w:hint="eastAsia"/>
        </w:rPr>
        <w:t xml:space="preserve"> </w:t>
      </w:r>
      <w:r>
        <w:rPr>
          <w:rFonts w:hint="eastAsia"/>
        </w:rPr>
        <w:t>丙之刑事責任。</w:t>
      </w:r>
    </w:p>
    <w:p w14:paraId="1AFA693B" w14:textId="13A3B5AF" w:rsidR="00B87C70" w:rsidRDefault="00B87C70" w:rsidP="00B87C70"/>
    <w:p w14:paraId="7749A69B" w14:textId="76DA41FF" w:rsidR="00B87C70" w:rsidRDefault="00B87C70" w:rsidP="00A02A44">
      <w:r>
        <w:rPr>
          <w:rFonts w:hint="eastAsia"/>
        </w:rPr>
        <w:t>爭點</w:t>
      </w:r>
      <w:r>
        <w:rPr>
          <w:rFonts w:hint="eastAsia"/>
        </w:rPr>
        <w:t>:</w:t>
      </w:r>
      <w:r w:rsidRPr="00B87C70">
        <w:rPr>
          <w:rFonts w:hint="eastAsia"/>
        </w:rPr>
        <w:t xml:space="preserve"> </w:t>
      </w:r>
      <w:r>
        <w:tab/>
      </w:r>
      <w:proofErr w:type="gramStart"/>
      <w:r>
        <w:rPr>
          <w:rFonts w:hint="eastAsia"/>
        </w:rPr>
        <w:t>甲及丙是否</w:t>
      </w:r>
      <w:proofErr w:type="gramEnd"/>
      <w:r>
        <w:rPr>
          <w:rFonts w:hint="eastAsia"/>
        </w:rPr>
        <w:t>成立聚眾鬥毆</w:t>
      </w:r>
      <w:r>
        <w:rPr>
          <w:rFonts w:hint="eastAsia"/>
        </w:rPr>
        <w:t>(283)</w:t>
      </w:r>
    </w:p>
    <w:p w14:paraId="5F897208" w14:textId="77777777" w:rsidR="00B87C70" w:rsidRDefault="00B87C70" w:rsidP="0085203E">
      <w:pPr>
        <w:ind w:left="960" w:firstLine="480"/>
      </w:pPr>
      <w:r>
        <w:rPr>
          <w:rFonts w:hint="eastAsia"/>
        </w:rPr>
        <w:t>丙以不鏽鋼</w:t>
      </w:r>
      <w:proofErr w:type="gramStart"/>
      <w:r>
        <w:rPr>
          <w:rFonts w:hint="eastAsia"/>
        </w:rPr>
        <w:t>棍</w:t>
      </w:r>
      <w:proofErr w:type="gramEnd"/>
      <w:r>
        <w:rPr>
          <w:rFonts w:hint="eastAsia"/>
        </w:rPr>
        <w:t>攻擊</w:t>
      </w:r>
      <w:r>
        <w:rPr>
          <w:rFonts w:hint="eastAsia"/>
        </w:rPr>
        <w:t>AB</w:t>
      </w:r>
      <w:r>
        <w:rPr>
          <w:rFonts w:hint="eastAsia"/>
        </w:rPr>
        <w:t>之行為是否成立故意傷害</w:t>
      </w:r>
    </w:p>
    <w:p w14:paraId="36E88223" w14:textId="77777777" w:rsidR="00B87C70" w:rsidRDefault="00B87C70" w:rsidP="0085203E">
      <w:pPr>
        <w:ind w:left="1440"/>
      </w:pPr>
      <w:r>
        <w:rPr>
          <w:rFonts w:hint="eastAsia"/>
        </w:rPr>
        <w:t>甲之行為是否構成</w:t>
      </w:r>
      <w:r>
        <w:rPr>
          <w:rFonts w:hint="eastAsia"/>
        </w:rPr>
        <w:t>278</w:t>
      </w:r>
      <w:r>
        <w:rPr>
          <w:rFonts w:hint="eastAsia"/>
        </w:rPr>
        <w:t>第二項傷害過失致死，因甲</w:t>
      </w:r>
      <w:proofErr w:type="gramStart"/>
      <w:r>
        <w:rPr>
          <w:rFonts w:hint="eastAsia"/>
        </w:rPr>
        <w:t>與在場數</w:t>
      </w:r>
      <w:proofErr w:type="gramEnd"/>
      <w:r>
        <w:rPr>
          <w:rFonts w:hint="eastAsia"/>
        </w:rPr>
        <w:t>人同時有共同正犯的成立，甲之行為亦須討論共同正犯的論處。</w:t>
      </w:r>
      <w:r>
        <w:rPr>
          <w:rFonts w:hint="eastAsia"/>
        </w:rPr>
        <w:t>(</w:t>
      </w:r>
      <w:r>
        <w:rPr>
          <w:rFonts w:hint="eastAsia"/>
        </w:rPr>
        <w:t>主文</w:t>
      </w:r>
      <w:r>
        <w:rPr>
          <w:rFonts w:hint="eastAsia"/>
        </w:rPr>
        <w:t>)</w:t>
      </w:r>
    </w:p>
    <w:p w14:paraId="510DBEAC" w14:textId="3DFA5AF2" w:rsidR="00B87C70" w:rsidRDefault="00B87C70" w:rsidP="0085203E">
      <w:pPr>
        <w:ind w:left="960" w:firstLine="480"/>
      </w:pPr>
      <w:r>
        <w:rPr>
          <w:rFonts w:hint="eastAsia"/>
        </w:rPr>
        <w:t>是否有教唆或幫助之虞</w:t>
      </w:r>
      <w:r>
        <w:rPr>
          <w:rFonts w:hint="eastAsia"/>
        </w:rPr>
        <w:t>(</w:t>
      </w:r>
      <w:r>
        <w:rPr>
          <w:rFonts w:hint="eastAsia"/>
        </w:rPr>
        <w:t>主文</w:t>
      </w:r>
      <w:r>
        <w:rPr>
          <w:rFonts w:hint="eastAsia"/>
        </w:rPr>
        <w:t>)</w:t>
      </w:r>
      <w:r>
        <w:rPr>
          <w:rFonts w:hint="eastAsia"/>
        </w:rPr>
        <w:t>。</w:t>
      </w:r>
    </w:p>
    <w:p w14:paraId="487FD872" w14:textId="6B9F61C8" w:rsidR="00B87C70" w:rsidRDefault="00B87C70" w:rsidP="00B87C70">
      <w:pPr>
        <w:ind w:left="480" w:firstLine="480"/>
      </w:pPr>
    </w:p>
    <w:p w14:paraId="667CA3B0" w14:textId="5E5B7C76" w:rsidR="00001565" w:rsidRDefault="00001565" w:rsidP="00A02A44">
      <w:proofErr w:type="gramStart"/>
      <w:r>
        <w:rPr>
          <w:rFonts w:hint="eastAsia"/>
        </w:rPr>
        <w:t>擬答</w:t>
      </w:r>
      <w:proofErr w:type="gramEnd"/>
      <w:r>
        <w:rPr>
          <w:rFonts w:hint="eastAsia"/>
        </w:rPr>
        <w:t>：</w:t>
      </w:r>
      <w:r w:rsidR="00CF105F">
        <w:rPr>
          <w:rFonts w:hint="eastAsia"/>
        </w:rPr>
        <w:t>１、</w:t>
      </w:r>
      <w:r w:rsidR="007E2083">
        <w:rPr>
          <w:rFonts w:hint="eastAsia"/>
        </w:rPr>
        <w:t>甲、</w:t>
      </w:r>
      <w:r>
        <w:rPr>
          <w:rFonts w:hint="eastAsia"/>
        </w:rPr>
        <w:t>丙之行為是否成立聚眾鬥毆？</w:t>
      </w:r>
    </w:p>
    <w:p w14:paraId="1BE1C0AF" w14:textId="77777777" w:rsidR="00CF105F" w:rsidRDefault="00CF105F" w:rsidP="0085203E">
      <w:pPr>
        <w:ind w:firstLine="480"/>
      </w:pPr>
    </w:p>
    <w:p w14:paraId="3477E265" w14:textId="77777777" w:rsidR="007E2083" w:rsidRDefault="007E2083" w:rsidP="007E2083">
      <w:pPr>
        <w:ind w:left="480" w:firstLine="480"/>
      </w:pPr>
      <w:r>
        <w:rPr>
          <w:rFonts w:hint="eastAsia"/>
        </w:rPr>
        <w:t>中華民國刑法第</w:t>
      </w:r>
      <w:r>
        <w:rPr>
          <w:rFonts w:hint="eastAsia"/>
        </w:rPr>
        <w:t xml:space="preserve"> 283 </w:t>
      </w:r>
      <w:r>
        <w:rPr>
          <w:rFonts w:hint="eastAsia"/>
        </w:rPr>
        <w:t>條</w:t>
      </w:r>
      <w:r>
        <w:rPr>
          <w:rFonts w:hint="eastAsia"/>
        </w:rPr>
        <w:t xml:space="preserve"> </w:t>
      </w:r>
      <w:r>
        <w:rPr>
          <w:rFonts w:hint="eastAsia"/>
        </w:rPr>
        <w:t>聚眾鬥毆致人於死或重傷者，</w:t>
      </w:r>
      <w:proofErr w:type="gramStart"/>
      <w:r>
        <w:rPr>
          <w:rFonts w:hint="eastAsia"/>
        </w:rPr>
        <w:t>在場助</w:t>
      </w:r>
      <w:proofErr w:type="gramEnd"/>
      <w:r>
        <w:rPr>
          <w:rFonts w:hint="eastAsia"/>
        </w:rPr>
        <w:t>勢之人，處五年以下有期徒刑。</w:t>
      </w:r>
    </w:p>
    <w:p w14:paraId="61A67D6A" w14:textId="77777777" w:rsidR="00B87C70" w:rsidRDefault="00B87C70" w:rsidP="00B87C70">
      <w:pPr>
        <w:ind w:left="480" w:firstLine="480"/>
      </w:pPr>
    </w:p>
    <w:p w14:paraId="4B2626C5" w14:textId="3A2A26C2" w:rsidR="00001565" w:rsidRDefault="00B87C70" w:rsidP="00B87C70">
      <w:pPr>
        <w:ind w:left="480" w:firstLine="480"/>
      </w:pPr>
      <w:r>
        <w:rPr>
          <w:rFonts w:hint="eastAsia"/>
        </w:rPr>
        <w:tab/>
      </w:r>
      <w:r>
        <w:rPr>
          <w:rFonts w:hint="eastAsia"/>
        </w:rPr>
        <w:t>甲說</w:t>
      </w:r>
      <w:r w:rsidR="00001565" w:rsidRPr="00001565">
        <w:rPr>
          <w:rFonts w:hint="eastAsia"/>
          <w:vertAlign w:val="superscript"/>
        </w:rPr>
        <w:t>１</w:t>
      </w:r>
      <w:r>
        <w:rPr>
          <w:rFonts w:hint="eastAsia"/>
        </w:rPr>
        <w:t>認為</w:t>
      </w:r>
      <w:r w:rsidR="007E2083">
        <w:rPr>
          <w:rFonts w:hint="eastAsia"/>
        </w:rPr>
        <w:t>聚眾鬥毆的參與應主要定義為下手參與即使衝突擴大之人，</w:t>
      </w:r>
      <w:proofErr w:type="gramStart"/>
      <w:r w:rsidR="007E2083">
        <w:rPr>
          <w:rFonts w:hint="eastAsia"/>
        </w:rPr>
        <w:t>若行</w:t>
      </w:r>
      <w:proofErr w:type="gramEnd"/>
      <w:r w:rsidR="007E2083">
        <w:rPr>
          <w:rFonts w:hint="eastAsia"/>
        </w:rPr>
        <w:t>為人</w:t>
      </w:r>
      <w:r>
        <w:rPr>
          <w:rFonts w:hint="eastAsia"/>
        </w:rPr>
        <w:t>並非下手實施傷害或造成衝突進一步擴大，而僅單純</w:t>
      </w:r>
      <w:proofErr w:type="gramStart"/>
      <w:r>
        <w:rPr>
          <w:rFonts w:hint="eastAsia"/>
        </w:rPr>
        <w:t>在場助</w:t>
      </w:r>
      <w:proofErr w:type="gramEnd"/>
      <w:r>
        <w:rPr>
          <w:rFonts w:hint="eastAsia"/>
        </w:rPr>
        <w:t>勢之人是否得以</w:t>
      </w:r>
      <w:proofErr w:type="gramStart"/>
      <w:r>
        <w:rPr>
          <w:rFonts w:hint="eastAsia"/>
        </w:rPr>
        <w:t>評價為聚眾</w:t>
      </w:r>
      <w:proofErr w:type="gramEnd"/>
      <w:r>
        <w:rPr>
          <w:rFonts w:hint="eastAsia"/>
        </w:rPr>
        <w:t>鬥毆亦或僅為幫助犯或教唆犯有疑義</w:t>
      </w:r>
      <w:r w:rsidR="00001565">
        <w:rPr>
          <w:rFonts w:hint="eastAsia"/>
        </w:rPr>
        <w:t>。</w:t>
      </w:r>
    </w:p>
    <w:p w14:paraId="467FCD5D" w14:textId="28F3D9C2" w:rsidR="00B87C70" w:rsidRDefault="00B87C70" w:rsidP="00001565">
      <w:pPr>
        <w:widowControl/>
      </w:pPr>
    </w:p>
    <w:p w14:paraId="0AD6ACF5" w14:textId="68B5EE92" w:rsidR="007E2083" w:rsidRDefault="00BA7754" w:rsidP="007E2083">
      <w:pPr>
        <w:ind w:left="480" w:firstLine="480"/>
      </w:pPr>
      <w:r>
        <w:rPr>
          <w:rFonts w:hint="eastAsia"/>
          <w:noProof/>
        </w:rPr>
        <mc:AlternateContent>
          <mc:Choice Requires="wpi">
            <w:drawing>
              <wp:anchor distT="0" distB="0" distL="114300" distR="114300" simplePos="0" relativeHeight="251659264" behindDoc="0" locked="0" layoutInCell="1" allowOverlap="1" wp14:anchorId="2C7E4B62" wp14:editId="57874BC7">
                <wp:simplePos x="0" y="0"/>
                <wp:positionH relativeFrom="column">
                  <wp:posOffset>-657375</wp:posOffset>
                </wp:positionH>
                <wp:positionV relativeFrom="paragraph">
                  <wp:posOffset>123375</wp:posOffset>
                </wp:positionV>
                <wp:extent cx="360" cy="360"/>
                <wp:effectExtent l="38100" t="38100" r="38100" b="38100"/>
                <wp:wrapNone/>
                <wp:docPr id="4" name="筆跡 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1F521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2.1pt;margin-top:9.3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">
                <v:imagedata r:id="rId9" o:title=""/>
              </v:shape>
            </w:pict>
          </mc:Fallback>
        </mc:AlternateContent>
      </w:r>
      <w:r w:rsidR="00B87C70">
        <w:rPr>
          <w:rFonts w:hint="eastAsia"/>
        </w:rPr>
        <w:tab/>
      </w:r>
      <w:r w:rsidR="00001565">
        <w:rPr>
          <w:rFonts w:hint="eastAsia"/>
        </w:rPr>
        <w:t>乙說</w:t>
      </w:r>
      <w:r w:rsidR="00001565" w:rsidRPr="00001565">
        <w:rPr>
          <w:rFonts w:hint="eastAsia"/>
          <w:vertAlign w:val="superscript"/>
        </w:rPr>
        <w:t>２</w:t>
      </w:r>
      <w:r w:rsidR="00B87C70">
        <w:rPr>
          <w:rFonts w:hint="eastAsia"/>
        </w:rPr>
        <w:t>認為單純</w:t>
      </w:r>
      <w:proofErr w:type="gramStart"/>
      <w:r w:rsidR="00B87C70">
        <w:rPr>
          <w:rFonts w:hint="eastAsia"/>
        </w:rPr>
        <w:t>在場助</w:t>
      </w:r>
      <w:proofErr w:type="gramEnd"/>
      <w:r w:rsidR="00B87C70">
        <w:rPr>
          <w:rFonts w:hint="eastAsia"/>
        </w:rPr>
        <w:t>勢為此客觀構成之行為，而致人於死或重傷僅為客觀構成要件，即只要有</w:t>
      </w:r>
      <w:r w:rsidR="007E2083">
        <w:rPr>
          <w:rFonts w:hint="eastAsia"/>
        </w:rPr>
        <w:t>死亡或重傷結果</w:t>
      </w:r>
      <w:r w:rsidR="00B87C70">
        <w:rPr>
          <w:rFonts w:hint="eastAsia"/>
        </w:rPr>
        <w:t>的發生，</w:t>
      </w:r>
      <w:proofErr w:type="gramStart"/>
      <w:r w:rsidR="00B87C70">
        <w:rPr>
          <w:rFonts w:hint="eastAsia"/>
        </w:rPr>
        <w:t>在場助勢</w:t>
      </w:r>
      <w:r w:rsidR="007E2083">
        <w:rPr>
          <w:rFonts w:hint="eastAsia"/>
        </w:rPr>
        <w:t>始</w:t>
      </w:r>
      <w:proofErr w:type="gramEnd"/>
      <w:r w:rsidR="007E2083">
        <w:rPr>
          <w:rFonts w:hint="eastAsia"/>
        </w:rPr>
        <w:t>成立本罪。</w:t>
      </w:r>
    </w:p>
    <w:p w14:paraId="5AF4F5D3" w14:textId="02877B98" w:rsidR="00F869EC" w:rsidRDefault="00F869EC" w:rsidP="00F869EC"/>
    <w:p w14:paraId="2AF55E59" w14:textId="505B5E1C" w:rsidR="00BA7754" w:rsidRDefault="00DA4371" w:rsidP="00BA7754">
      <w:pPr>
        <w:ind w:left="480" w:firstLine="480"/>
      </w:pPr>
      <w:r>
        <w:rPr>
          <w:rFonts w:hint="eastAsia"/>
        </w:rPr>
        <w:t>客觀構成要件：</w:t>
      </w:r>
      <w:r w:rsidR="00BA7754">
        <w:rPr>
          <w:rFonts w:hint="eastAsia"/>
        </w:rPr>
        <w:t>鬥毆</w:t>
      </w:r>
      <w:r w:rsidR="00001565">
        <w:rPr>
          <w:rFonts w:hint="eastAsia"/>
          <w:vertAlign w:val="superscript"/>
        </w:rPr>
        <w:t>３</w:t>
      </w:r>
      <w:r w:rsidR="00BA7754">
        <w:rPr>
          <w:rFonts w:hint="eastAsia"/>
        </w:rPr>
        <w:t>指三人以上積極運用身體力量進行相互傷害的衝突。聚眾</w:t>
      </w:r>
      <w:r w:rsidR="00001565">
        <w:rPr>
          <w:rFonts w:hint="eastAsia"/>
          <w:vertAlign w:val="superscript"/>
        </w:rPr>
        <w:t>４</w:t>
      </w:r>
      <w:r w:rsidR="00BA7754">
        <w:rPr>
          <w:rFonts w:hint="eastAsia"/>
        </w:rPr>
        <w:t>指排除一對</w:t>
      </w:r>
      <w:proofErr w:type="gramStart"/>
      <w:r w:rsidR="00BA7754">
        <w:rPr>
          <w:rFonts w:hint="eastAsia"/>
        </w:rPr>
        <w:t>一</w:t>
      </w:r>
      <w:proofErr w:type="gramEnd"/>
      <w:r w:rsidR="00BA7754">
        <w:rPr>
          <w:rFonts w:hint="eastAsia"/>
        </w:rPr>
        <w:t>的互毆行為。</w:t>
      </w:r>
    </w:p>
    <w:p w14:paraId="3EB71FD0" w14:textId="0156889A" w:rsidR="009D74E7" w:rsidRDefault="009D74E7" w:rsidP="009D74E7">
      <w:pPr>
        <w:ind w:left="480" w:firstLine="480"/>
      </w:pPr>
      <w:r>
        <w:rPr>
          <w:rFonts w:hint="eastAsia"/>
        </w:rPr>
        <w:t>主觀構成要件：行為人需具備參與鬥毆的故意，且若殺人或重傷等行為可歸責於行為人，亦可適用殺人罪或重傷罪之規定。</w:t>
      </w:r>
    </w:p>
    <w:p w14:paraId="6FC32707" w14:textId="0F1BD769" w:rsidR="00001565" w:rsidRDefault="00001565" w:rsidP="009D74E7">
      <w:pPr>
        <w:ind w:left="480" w:firstLine="480"/>
      </w:pPr>
      <w:r>
        <w:rPr>
          <w:rFonts w:hint="eastAsia"/>
        </w:rPr>
        <w:t>客觀處罰規定：只要聚眾鬥毆導致任何人的死亡或重傷的發生，所有參與者皆可能成立此罪。</w:t>
      </w:r>
      <w:proofErr w:type="gramStart"/>
      <w:r>
        <w:rPr>
          <w:rFonts w:hint="eastAsia"/>
        </w:rPr>
        <w:t>惟聚眾</w:t>
      </w:r>
      <w:proofErr w:type="gramEnd"/>
      <w:r>
        <w:rPr>
          <w:rFonts w:hint="eastAsia"/>
        </w:rPr>
        <w:t>鬥毆需與死亡或重傷結果有相當因果關係。</w:t>
      </w:r>
      <w:r w:rsidR="008600D1">
        <w:rPr>
          <w:rFonts w:hint="eastAsia"/>
        </w:rPr>
        <w:t>亦有學者認為不在現場而以視訊</w:t>
      </w:r>
      <w:proofErr w:type="gramStart"/>
      <w:r w:rsidR="008600D1">
        <w:rPr>
          <w:rFonts w:hint="eastAsia"/>
        </w:rPr>
        <w:t>助勢亦成立</w:t>
      </w:r>
      <w:proofErr w:type="gramEnd"/>
      <w:r w:rsidR="008600D1">
        <w:rPr>
          <w:rFonts w:hint="eastAsia"/>
        </w:rPr>
        <w:t>本罪，惟在此不</w:t>
      </w:r>
      <w:r w:rsidR="003C1B94">
        <w:rPr>
          <w:rFonts w:hint="eastAsia"/>
        </w:rPr>
        <w:t>予</w:t>
      </w:r>
      <w:proofErr w:type="gramStart"/>
      <w:r w:rsidR="008600D1">
        <w:rPr>
          <w:rFonts w:hint="eastAsia"/>
        </w:rPr>
        <w:t>贅</w:t>
      </w:r>
      <w:proofErr w:type="gramEnd"/>
      <w:r w:rsidR="008600D1">
        <w:rPr>
          <w:rFonts w:hint="eastAsia"/>
        </w:rPr>
        <w:t>論。</w:t>
      </w:r>
    </w:p>
    <w:p w14:paraId="0AAE96CD" w14:textId="4F31DA7F" w:rsidR="00BA7754" w:rsidRDefault="00BA7754" w:rsidP="007E2083">
      <w:pPr>
        <w:ind w:left="480" w:firstLine="480"/>
      </w:pPr>
      <w:r>
        <w:rPr>
          <w:rFonts w:hint="eastAsia"/>
          <w:noProof/>
        </w:rPr>
        <mc:AlternateContent>
          <mc:Choice Requires="wps">
            <w:drawing>
              <wp:anchor distT="0" distB="0" distL="114300" distR="114300" simplePos="0" relativeHeight="251660288" behindDoc="0" locked="0" layoutInCell="1" allowOverlap="1" wp14:anchorId="38CE1010" wp14:editId="5D21099E">
                <wp:simplePos x="0" y="0"/>
                <wp:positionH relativeFrom="margin">
                  <wp:posOffset>-38100</wp:posOffset>
                </wp:positionH>
                <wp:positionV relativeFrom="paragraph">
                  <wp:posOffset>27940</wp:posOffset>
                </wp:positionV>
                <wp:extent cx="5429250" cy="19050"/>
                <wp:effectExtent l="0" t="0" r="19050" b="19050"/>
                <wp:wrapNone/>
                <wp:docPr id="6" name="直線接點 6"/>
                <wp:cNvGraphicFramePr/>
                <a:graphic xmlns:a="http://schemas.openxmlformats.org/drawingml/2006/main">
                  <a:graphicData uri="http://schemas.microsoft.com/office/word/2010/wordprocessingShape">
                    <wps:wsp>
                      <wps:cNvCnPr/>
                      <wps:spPr>
                        <a:xfrm flipV="1">
                          <a:off x="0" y="0"/>
                          <a:ext cx="5429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89860" id="直線接點 6"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2.2pt" to="42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" strokecolor="black [3200]" strokeweight=".5pt">
                <v:stroke joinstyle="miter"/>
                <w10:wrap anchorx="margin"/>
              </v:line>
            </w:pict>
          </mc:Fallback>
        </mc:AlternateContent>
      </w:r>
    </w:p>
    <w:p w14:paraId="1957ACBA" w14:textId="20141EAA" w:rsidR="00001565" w:rsidRPr="00C16A42" w:rsidRDefault="00C16A42" w:rsidP="00C16A42">
      <w:pPr>
        <w:pStyle w:val="a3"/>
        <w:numPr>
          <w:ilvl w:val="0"/>
          <w:numId w:val="11"/>
        </w:numPr>
        <w:ind w:leftChars="0"/>
        <w:rPr>
          <w:sz w:val="20"/>
          <w:szCs w:val="20"/>
        </w:rPr>
      </w:pPr>
      <w:r>
        <w:rPr>
          <w:rFonts w:hint="eastAsia"/>
          <w:sz w:val="20"/>
          <w:szCs w:val="20"/>
          <w:vertAlign w:val="superscript"/>
        </w:rPr>
        <w:t xml:space="preserve">　</w:t>
      </w:r>
      <w:r w:rsidR="00001565" w:rsidRPr="00C16A42">
        <w:rPr>
          <w:rFonts w:hint="eastAsia"/>
          <w:sz w:val="20"/>
          <w:szCs w:val="20"/>
          <w:vertAlign w:val="superscript"/>
        </w:rPr>
        <w:t xml:space="preserve">　</w:t>
      </w:r>
      <w:r w:rsidR="00001565" w:rsidRPr="00C16A42">
        <w:rPr>
          <w:rFonts w:hint="eastAsia"/>
          <w:sz w:val="20"/>
          <w:szCs w:val="20"/>
        </w:rPr>
        <w:t>許則天，刑法分則下冊五版，頁１６７，２０２３年</w:t>
      </w:r>
      <w:proofErr w:type="gramStart"/>
      <w:r w:rsidR="00001565" w:rsidRPr="00C16A42">
        <w:rPr>
          <w:rFonts w:hint="eastAsia"/>
          <w:sz w:val="20"/>
          <w:szCs w:val="20"/>
        </w:rPr>
        <w:t>１０</w:t>
      </w:r>
      <w:proofErr w:type="gramEnd"/>
      <w:r w:rsidR="00001565" w:rsidRPr="00C16A42">
        <w:rPr>
          <w:rFonts w:hint="eastAsia"/>
          <w:sz w:val="20"/>
          <w:szCs w:val="20"/>
        </w:rPr>
        <w:t>月</w:t>
      </w:r>
    </w:p>
    <w:p w14:paraId="741F3DA1" w14:textId="5D31FC18" w:rsidR="00001565" w:rsidRPr="00C16A42" w:rsidRDefault="00001565" w:rsidP="00C16A42">
      <w:pPr>
        <w:pStyle w:val="a3"/>
        <w:numPr>
          <w:ilvl w:val="0"/>
          <w:numId w:val="11"/>
        </w:numPr>
        <w:ind w:leftChars="0"/>
        <w:rPr>
          <w:sz w:val="20"/>
          <w:szCs w:val="20"/>
          <w:vertAlign w:val="superscript"/>
        </w:rPr>
      </w:pPr>
      <w:r w:rsidRPr="00C16A42">
        <w:rPr>
          <w:rFonts w:hint="eastAsia"/>
          <w:sz w:val="20"/>
          <w:szCs w:val="20"/>
          <w:vertAlign w:val="superscript"/>
        </w:rPr>
        <w:t xml:space="preserve">　　</w:t>
      </w:r>
      <w:r w:rsidRPr="00C16A42">
        <w:rPr>
          <w:rFonts w:hint="eastAsia"/>
          <w:sz w:val="20"/>
          <w:szCs w:val="20"/>
        </w:rPr>
        <w:t>盧映潔</w:t>
      </w:r>
      <w:r w:rsidR="003C1B94" w:rsidRPr="00C16A42">
        <w:rPr>
          <w:rFonts w:hint="eastAsia"/>
          <w:sz w:val="20"/>
          <w:szCs w:val="20"/>
        </w:rPr>
        <w:t>，</w:t>
      </w:r>
      <w:r w:rsidRPr="00C16A42">
        <w:rPr>
          <w:rFonts w:hint="eastAsia"/>
          <w:sz w:val="20"/>
          <w:szCs w:val="20"/>
        </w:rPr>
        <w:t>刑法分則新論，頁５４９，２０２３年</w:t>
      </w:r>
      <w:proofErr w:type="gramStart"/>
      <w:r w:rsidRPr="00C16A42">
        <w:rPr>
          <w:rFonts w:hint="eastAsia"/>
          <w:sz w:val="20"/>
          <w:szCs w:val="20"/>
        </w:rPr>
        <w:t>９</w:t>
      </w:r>
      <w:proofErr w:type="gramEnd"/>
      <w:r w:rsidRPr="00C16A42">
        <w:rPr>
          <w:rFonts w:hint="eastAsia"/>
          <w:sz w:val="20"/>
          <w:szCs w:val="20"/>
        </w:rPr>
        <w:t>月</w:t>
      </w:r>
    </w:p>
    <w:p w14:paraId="68DEBCBE" w14:textId="124787D0" w:rsidR="00001565" w:rsidRPr="00C16A42" w:rsidRDefault="00BA7754" w:rsidP="00C16A42">
      <w:pPr>
        <w:pStyle w:val="a3"/>
        <w:numPr>
          <w:ilvl w:val="0"/>
          <w:numId w:val="11"/>
        </w:numPr>
        <w:ind w:leftChars="0"/>
        <w:rPr>
          <w:sz w:val="20"/>
          <w:szCs w:val="20"/>
        </w:rPr>
      </w:pPr>
      <w:r w:rsidRPr="00C16A42">
        <w:rPr>
          <w:rFonts w:hint="eastAsia"/>
          <w:sz w:val="20"/>
          <w:szCs w:val="20"/>
        </w:rPr>
        <w:t xml:space="preserve">　許則天</w:t>
      </w:r>
      <w:r w:rsidR="009D74E7" w:rsidRPr="00C16A42">
        <w:rPr>
          <w:rFonts w:hint="eastAsia"/>
          <w:sz w:val="20"/>
          <w:szCs w:val="20"/>
        </w:rPr>
        <w:t>，刑法分則下冊五版，頁１６７，２０２３年</w:t>
      </w:r>
      <w:proofErr w:type="gramStart"/>
      <w:r w:rsidR="009D74E7" w:rsidRPr="00C16A42">
        <w:rPr>
          <w:rFonts w:hint="eastAsia"/>
          <w:sz w:val="20"/>
          <w:szCs w:val="20"/>
        </w:rPr>
        <w:t>１０</w:t>
      </w:r>
      <w:proofErr w:type="gramEnd"/>
      <w:r w:rsidR="009D74E7" w:rsidRPr="00C16A42">
        <w:rPr>
          <w:rFonts w:hint="eastAsia"/>
          <w:sz w:val="20"/>
          <w:szCs w:val="20"/>
        </w:rPr>
        <w:t>月</w:t>
      </w:r>
    </w:p>
    <w:p w14:paraId="22F7A6B9" w14:textId="25A6FD13" w:rsidR="007E2083" w:rsidRPr="00C16A42" w:rsidRDefault="009D74E7" w:rsidP="00C16A42">
      <w:pPr>
        <w:pStyle w:val="a3"/>
        <w:numPr>
          <w:ilvl w:val="0"/>
          <w:numId w:val="11"/>
        </w:numPr>
        <w:ind w:leftChars="0"/>
        <w:rPr>
          <w:sz w:val="20"/>
          <w:szCs w:val="20"/>
        </w:rPr>
      </w:pPr>
      <w:r w:rsidRPr="00C16A42">
        <w:rPr>
          <w:rFonts w:hint="eastAsia"/>
          <w:sz w:val="20"/>
          <w:szCs w:val="20"/>
        </w:rPr>
        <w:t xml:space="preserve">　許則天，刑法分則下冊五版，頁１６７，２０２３年</w:t>
      </w:r>
      <w:proofErr w:type="gramStart"/>
      <w:r w:rsidRPr="00C16A42">
        <w:rPr>
          <w:rFonts w:hint="eastAsia"/>
          <w:sz w:val="20"/>
          <w:szCs w:val="20"/>
        </w:rPr>
        <w:t>１０</w:t>
      </w:r>
      <w:proofErr w:type="gramEnd"/>
      <w:r w:rsidRPr="00C16A42">
        <w:rPr>
          <w:rFonts w:hint="eastAsia"/>
          <w:sz w:val="20"/>
          <w:szCs w:val="20"/>
        </w:rPr>
        <w:t>月</w:t>
      </w:r>
    </w:p>
    <w:p w14:paraId="364385CD" w14:textId="5770EAF4" w:rsidR="007E2083" w:rsidRDefault="007E2083" w:rsidP="00F869EC">
      <w:pPr>
        <w:rPr>
          <w:sz w:val="20"/>
          <w:szCs w:val="20"/>
        </w:rPr>
      </w:pPr>
    </w:p>
    <w:p w14:paraId="21F2788C" w14:textId="461B0EB2" w:rsidR="007E2083" w:rsidRDefault="007E2083" w:rsidP="0085203E">
      <w:pPr>
        <w:ind w:firstLine="480"/>
        <w:rPr>
          <w:szCs w:val="24"/>
        </w:rPr>
      </w:pPr>
      <w:r w:rsidRPr="007E2083">
        <w:rPr>
          <w:rFonts w:hint="eastAsia"/>
          <w:szCs w:val="24"/>
        </w:rPr>
        <w:t>綜上所述，成立聚眾鬥毆須滿足</w:t>
      </w:r>
      <w:r>
        <w:rPr>
          <w:rFonts w:hint="eastAsia"/>
          <w:szCs w:val="24"/>
        </w:rPr>
        <w:t>直接或間接製造衝突之產生或與衝突擴大具一定之因果關係（排除僅在場觀看或勸和之人</w:t>
      </w:r>
      <w:r w:rsidR="00C16A42">
        <w:rPr>
          <w:rFonts w:hint="eastAsia"/>
          <w:szCs w:val="24"/>
          <w:vertAlign w:val="superscript"/>
        </w:rPr>
        <w:t>５</w:t>
      </w:r>
      <w:r>
        <w:rPr>
          <w:rFonts w:hint="eastAsia"/>
          <w:szCs w:val="24"/>
        </w:rPr>
        <w:t>），聚眾鬥毆需導致有當事人或第三人的死亡或重傷之結果及行為人需僅為</w:t>
      </w:r>
      <w:proofErr w:type="gramStart"/>
      <w:r>
        <w:rPr>
          <w:rFonts w:hint="eastAsia"/>
          <w:szCs w:val="24"/>
        </w:rPr>
        <w:t>在場助</w:t>
      </w:r>
      <w:proofErr w:type="gramEnd"/>
      <w:r>
        <w:rPr>
          <w:rFonts w:hint="eastAsia"/>
          <w:szCs w:val="24"/>
        </w:rPr>
        <w:t>勢之人</w:t>
      </w:r>
      <w:r w:rsidR="0085203E">
        <w:rPr>
          <w:rFonts w:hint="eastAsia"/>
          <w:szCs w:val="24"/>
        </w:rPr>
        <w:t>。</w:t>
      </w:r>
    </w:p>
    <w:p w14:paraId="22BA908F" w14:textId="520D834B" w:rsidR="0085203E" w:rsidRDefault="0085203E" w:rsidP="00F869EC">
      <w:pPr>
        <w:rPr>
          <w:szCs w:val="24"/>
        </w:rPr>
      </w:pPr>
      <w:r>
        <w:rPr>
          <w:szCs w:val="24"/>
        </w:rPr>
        <w:tab/>
      </w:r>
    </w:p>
    <w:p w14:paraId="6B72B520" w14:textId="77777777" w:rsidR="00C16A42" w:rsidRDefault="00C16A42" w:rsidP="00F869EC">
      <w:pPr>
        <w:rPr>
          <w:szCs w:val="24"/>
        </w:rPr>
      </w:pPr>
    </w:p>
    <w:p w14:paraId="76E72B4E" w14:textId="22E0A853" w:rsidR="0085203E" w:rsidRDefault="0085203E" w:rsidP="00F869EC">
      <w:pPr>
        <w:rPr>
          <w:szCs w:val="24"/>
        </w:rPr>
      </w:pPr>
      <w:r>
        <w:rPr>
          <w:szCs w:val="24"/>
        </w:rPr>
        <w:tab/>
      </w:r>
      <w:r>
        <w:rPr>
          <w:rFonts w:hint="eastAsia"/>
          <w:szCs w:val="24"/>
        </w:rPr>
        <w:t>因甲</w:t>
      </w:r>
      <w:proofErr w:type="gramStart"/>
      <w:r>
        <w:rPr>
          <w:rFonts w:hint="eastAsia"/>
          <w:szCs w:val="24"/>
        </w:rPr>
        <w:t>聯繫乙以電話</w:t>
      </w:r>
      <w:proofErr w:type="gramEnd"/>
      <w:r>
        <w:rPr>
          <w:rFonts w:hint="eastAsia"/>
          <w:szCs w:val="24"/>
        </w:rPr>
        <w:t>聯絡丙到場為甲助陣，而丙聯繫甲</w:t>
      </w:r>
      <w:proofErr w:type="gramStart"/>
      <w:r>
        <w:rPr>
          <w:rFonts w:hint="eastAsia"/>
          <w:szCs w:val="24"/>
        </w:rPr>
        <w:t>乙均不認識</w:t>
      </w:r>
      <w:proofErr w:type="gramEnd"/>
      <w:r>
        <w:rPr>
          <w:rFonts w:hint="eastAsia"/>
          <w:szCs w:val="24"/>
        </w:rPr>
        <w:t>之網友十餘人到場為甲助陣，有學者認為認識與否並不影響聚眾鬥毆的成立</w:t>
      </w:r>
      <w:r w:rsidR="00C16A42">
        <w:rPr>
          <w:rFonts w:hint="eastAsia"/>
          <w:szCs w:val="24"/>
          <w:vertAlign w:val="superscript"/>
        </w:rPr>
        <w:t>６</w:t>
      </w:r>
      <w:r w:rsidR="008600D1">
        <w:rPr>
          <w:rFonts w:hint="eastAsia"/>
          <w:szCs w:val="24"/>
        </w:rPr>
        <w:t>，然而爾後丙對</w:t>
      </w:r>
      <w:proofErr w:type="gramStart"/>
      <w:r w:rsidR="008600D1">
        <w:rPr>
          <w:rFonts w:hint="eastAsia"/>
          <w:szCs w:val="24"/>
        </w:rPr>
        <w:t>Ａ</w:t>
      </w:r>
      <w:proofErr w:type="gramEnd"/>
      <w:r w:rsidR="008600D1">
        <w:rPr>
          <w:rFonts w:hint="eastAsia"/>
          <w:szCs w:val="24"/>
        </w:rPr>
        <w:t>、</w:t>
      </w:r>
      <w:proofErr w:type="gramStart"/>
      <w:r w:rsidR="008600D1">
        <w:rPr>
          <w:rFonts w:hint="eastAsia"/>
          <w:szCs w:val="24"/>
        </w:rPr>
        <w:t>Ｂ</w:t>
      </w:r>
      <w:proofErr w:type="gramEnd"/>
      <w:r w:rsidR="008600D1">
        <w:rPr>
          <w:rFonts w:hint="eastAsia"/>
          <w:szCs w:val="24"/>
        </w:rPr>
        <w:t>發起攻擊，聚眾鬥毆的客觀構成要件以行為人僅為</w:t>
      </w:r>
      <w:proofErr w:type="gramStart"/>
      <w:r w:rsidR="008600D1">
        <w:rPr>
          <w:rFonts w:hint="eastAsia"/>
          <w:szCs w:val="24"/>
        </w:rPr>
        <w:t>在場助</w:t>
      </w:r>
      <w:proofErr w:type="gramEnd"/>
      <w:r w:rsidR="008600D1">
        <w:rPr>
          <w:rFonts w:hint="eastAsia"/>
          <w:szCs w:val="24"/>
        </w:rPr>
        <w:t>勢之人而非下手實施傷害行為之人為</w:t>
      </w:r>
      <w:proofErr w:type="gramStart"/>
      <w:r w:rsidR="008600D1">
        <w:rPr>
          <w:rFonts w:hint="eastAsia"/>
          <w:szCs w:val="24"/>
        </w:rPr>
        <w:t>準</w:t>
      </w:r>
      <w:proofErr w:type="gramEnd"/>
      <w:r w:rsidR="008600D1">
        <w:rPr>
          <w:rFonts w:hint="eastAsia"/>
          <w:szCs w:val="24"/>
        </w:rPr>
        <w:t>，</w:t>
      </w:r>
      <w:proofErr w:type="gramStart"/>
      <w:r w:rsidR="008600D1">
        <w:rPr>
          <w:rFonts w:hint="eastAsia"/>
          <w:szCs w:val="24"/>
        </w:rPr>
        <w:t>故此時丙脫離</w:t>
      </w:r>
      <w:proofErr w:type="gramEnd"/>
      <w:r w:rsidR="008600D1">
        <w:rPr>
          <w:rFonts w:hint="eastAsia"/>
          <w:szCs w:val="24"/>
        </w:rPr>
        <w:t>本條之適用而有成立中華民國刑法２２７故意傷害之虞，</w:t>
      </w:r>
      <w:proofErr w:type="gramStart"/>
      <w:r w:rsidR="008600D1">
        <w:rPr>
          <w:rFonts w:hint="eastAsia"/>
          <w:szCs w:val="24"/>
        </w:rPr>
        <w:t>此時在場</w:t>
      </w:r>
      <w:proofErr w:type="gramEnd"/>
      <w:r w:rsidR="008600D1">
        <w:rPr>
          <w:rFonts w:hint="eastAsia"/>
          <w:szCs w:val="24"/>
        </w:rPr>
        <w:t>十數人群情激動而與店內保安爆發肢體衝突，此段亦說明甲等人亦著手實施傷害行為，即使而後</w:t>
      </w:r>
      <w:proofErr w:type="gramStart"/>
      <w:r w:rsidR="008600D1">
        <w:rPr>
          <w:rFonts w:hint="eastAsia"/>
          <w:szCs w:val="24"/>
        </w:rPr>
        <w:t>Ｃ</w:t>
      </w:r>
      <w:proofErr w:type="gramEnd"/>
      <w:r w:rsidR="008600D1">
        <w:rPr>
          <w:rFonts w:hint="eastAsia"/>
          <w:szCs w:val="24"/>
        </w:rPr>
        <w:t>死亡之結果發生，甲、</w:t>
      </w:r>
      <w:proofErr w:type="gramStart"/>
      <w:r w:rsidR="008600D1">
        <w:rPr>
          <w:rFonts w:hint="eastAsia"/>
          <w:szCs w:val="24"/>
        </w:rPr>
        <w:t>丙亦因</w:t>
      </w:r>
      <w:proofErr w:type="gramEnd"/>
      <w:r w:rsidR="008600D1">
        <w:rPr>
          <w:rFonts w:hint="eastAsia"/>
          <w:szCs w:val="24"/>
        </w:rPr>
        <w:t>非構成要件所述之「</w:t>
      </w:r>
      <w:proofErr w:type="gramStart"/>
      <w:r w:rsidR="008600D1">
        <w:rPr>
          <w:rFonts w:hint="eastAsia"/>
          <w:szCs w:val="24"/>
        </w:rPr>
        <w:t>在場助</w:t>
      </w:r>
      <w:proofErr w:type="gramEnd"/>
      <w:r w:rsidR="008600D1">
        <w:rPr>
          <w:rFonts w:hint="eastAsia"/>
          <w:szCs w:val="24"/>
        </w:rPr>
        <w:t>勢之人」而無本條之適用。</w:t>
      </w:r>
    </w:p>
    <w:p w14:paraId="434A4757" w14:textId="37D87289" w:rsidR="008600D1" w:rsidRDefault="008600D1" w:rsidP="00F869EC">
      <w:pPr>
        <w:rPr>
          <w:szCs w:val="24"/>
        </w:rPr>
      </w:pPr>
      <w:r>
        <w:rPr>
          <w:szCs w:val="24"/>
        </w:rPr>
        <w:tab/>
      </w:r>
      <w:proofErr w:type="gramStart"/>
      <w:r>
        <w:rPr>
          <w:rFonts w:hint="eastAsia"/>
          <w:szCs w:val="24"/>
        </w:rPr>
        <w:t>故甲</w:t>
      </w:r>
      <w:proofErr w:type="gramEnd"/>
      <w:r>
        <w:rPr>
          <w:rFonts w:hint="eastAsia"/>
          <w:szCs w:val="24"/>
        </w:rPr>
        <w:t>、丙之行為不成立刑法２８３，聚眾鬥毆罪。</w:t>
      </w:r>
    </w:p>
    <w:p w14:paraId="05AED25B" w14:textId="41934517" w:rsidR="00B13DEF" w:rsidRDefault="00B13DEF" w:rsidP="00F869EC">
      <w:pPr>
        <w:rPr>
          <w:szCs w:val="24"/>
        </w:rPr>
      </w:pPr>
    </w:p>
    <w:p w14:paraId="49CE5D58" w14:textId="77777777" w:rsidR="00C16A42" w:rsidRDefault="00C16A42" w:rsidP="00F869EC">
      <w:pPr>
        <w:rPr>
          <w:rFonts w:hint="eastAsia"/>
          <w:szCs w:val="24"/>
        </w:rPr>
      </w:pPr>
    </w:p>
    <w:p w14:paraId="301D45DD" w14:textId="585A7018" w:rsidR="00B13DEF" w:rsidRDefault="00B13DEF" w:rsidP="00F869EC">
      <w:r>
        <w:rPr>
          <w:rFonts w:hint="eastAsia"/>
        </w:rPr>
        <w:t>甲是否</w:t>
      </w:r>
      <w:proofErr w:type="gramStart"/>
      <w:r>
        <w:rPr>
          <w:rFonts w:hint="eastAsia"/>
        </w:rPr>
        <w:t>與在場數</w:t>
      </w:r>
      <w:proofErr w:type="gramEnd"/>
      <w:r>
        <w:rPr>
          <w:rFonts w:hint="eastAsia"/>
        </w:rPr>
        <w:t>人有共同正犯的成立</w:t>
      </w:r>
      <w:r>
        <w:rPr>
          <w:rFonts w:hint="eastAsia"/>
        </w:rPr>
        <w:t>?</w:t>
      </w:r>
    </w:p>
    <w:p w14:paraId="208B3B96" w14:textId="2A9B8782" w:rsidR="00B13DEF" w:rsidRDefault="00B13DEF" w:rsidP="00F869EC"/>
    <w:p w14:paraId="2BAA5BDF" w14:textId="77777777" w:rsidR="00C16A42" w:rsidRDefault="00C16A42" w:rsidP="00F869EC">
      <w:pPr>
        <w:rPr>
          <w:rFonts w:hint="eastAsia"/>
        </w:rPr>
      </w:pPr>
    </w:p>
    <w:p w14:paraId="0F2569A3" w14:textId="76632709" w:rsidR="00B13DEF" w:rsidRDefault="00B13DEF" w:rsidP="00F869EC">
      <w:pPr>
        <w:rPr>
          <w:rFonts w:ascii="Arial" w:hAnsi="Arial" w:cs="Arial"/>
          <w:color w:val="000000"/>
          <w:sz w:val="22"/>
          <w:shd w:val="clear" w:color="auto" w:fill="F9FBFB"/>
        </w:rPr>
      </w:pPr>
      <w:r>
        <w:rPr>
          <w:rFonts w:ascii="Arial" w:hAnsi="Arial" w:cs="Arial"/>
          <w:color w:val="000000"/>
          <w:sz w:val="22"/>
        </w:rPr>
        <w:t>按刑法</w:t>
      </w:r>
      <w:r>
        <w:rPr>
          <w:rFonts w:ascii="Arial" w:hAnsi="Arial" w:cs="Arial"/>
          <w:color w:val="000000"/>
          <w:sz w:val="22"/>
        </w:rPr>
        <w:t>28</w:t>
      </w:r>
      <w:r>
        <w:rPr>
          <w:rFonts w:ascii="Arial" w:hAnsi="Arial" w:cs="Arial"/>
          <w:color w:val="000000"/>
          <w:sz w:val="22"/>
        </w:rPr>
        <w:t>條</w:t>
      </w:r>
      <w:r>
        <w:rPr>
          <w:rFonts w:ascii="Arial" w:hAnsi="Arial" w:cs="Arial"/>
          <w:color w:val="000000"/>
          <w:sz w:val="22"/>
        </w:rPr>
        <w:t>:</w:t>
      </w:r>
      <w:r>
        <w:rPr>
          <w:rFonts w:ascii="Arial" w:hAnsi="Arial" w:cs="Arial"/>
          <w:color w:val="000000"/>
          <w:sz w:val="22"/>
        </w:rPr>
        <w:t>「</w:t>
      </w:r>
      <w:r>
        <w:rPr>
          <w:rFonts w:ascii="Arial" w:hAnsi="Arial" w:cs="Arial"/>
          <w:color w:val="000000"/>
          <w:sz w:val="22"/>
          <w:shd w:val="clear" w:color="auto" w:fill="F9FBFB"/>
        </w:rPr>
        <w:t>二人以上共同實行犯罪之行為者，皆為正犯。」共同正犯之概念，是指兩人以上之行為人，基於共同之行為決議</w:t>
      </w:r>
      <w:r>
        <w:rPr>
          <w:rFonts w:ascii="Arial" w:hAnsi="Arial" w:cs="Arial"/>
          <w:color w:val="000000"/>
          <w:sz w:val="22"/>
          <w:shd w:val="clear" w:color="auto" w:fill="F9FBFB"/>
        </w:rPr>
        <w:t>(</w:t>
      </w:r>
      <w:r>
        <w:rPr>
          <w:rFonts w:ascii="Arial" w:hAnsi="Arial" w:cs="Arial"/>
          <w:color w:val="000000"/>
          <w:sz w:val="22"/>
          <w:shd w:val="clear" w:color="auto" w:fill="F9FBFB"/>
        </w:rPr>
        <w:t>犯意聯絡</w:t>
      </w:r>
      <w:r>
        <w:rPr>
          <w:rFonts w:ascii="Arial" w:hAnsi="Arial" w:cs="Arial"/>
          <w:color w:val="000000"/>
          <w:sz w:val="22"/>
          <w:shd w:val="clear" w:color="auto" w:fill="F9FBFB"/>
        </w:rPr>
        <w:t>)</w:t>
      </w:r>
      <w:r>
        <w:rPr>
          <w:rFonts w:ascii="Arial" w:hAnsi="Arial" w:cs="Arial"/>
          <w:color w:val="000000"/>
          <w:sz w:val="22"/>
          <w:shd w:val="clear" w:color="auto" w:fill="F9FBFB"/>
        </w:rPr>
        <w:t>，各自分擔犯罪行為之</w:t>
      </w:r>
      <w:proofErr w:type="gramStart"/>
      <w:r>
        <w:rPr>
          <w:rFonts w:ascii="Arial" w:hAnsi="Arial" w:cs="Arial"/>
          <w:color w:val="000000"/>
          <w:sz w:val="22"/>
          <w:shd w:val="clear" w:color="auto" w:fill="F9FBFB"/>
        </w:rPr>
        <w:t>一</w:t>
      </w:r>
      <w:proofErr w:type="gramEnd"/>
      <w:r>
        <w:rPr>
          <w:rFonts w:ascii="Arial" w:hAnsi="Arial" w:cs="Arial"/>
          <w:color w:val="000000"/>
          <w:sz w:val="22"/>
          <w:shd w:val="clear" w:color="auto" w:fill="F9FBFB"/>
        </w:rPr>
        <w:t>部份</w:t>
      </w:r>
      <w:r>
        <w:rPr>
          <w:rFonts w:ascii="Arial" w:hAnsi="Arial" w:cs="Arial"/>
          <w:color w:val="000000"/>
          <w:sz w:val="22"/>
          <w:shd w:val="clear" w:color="auto" w:fill="F9FBFB"/>
        </w:rPr>
        <w:t>(</w:t>
      </w:r>
      <w:r>
        <w:rPr>
          <w:rFonts w:ascii="Arial" w:hAnsi="Arial" w:cs="Arial"/>
          <w:color w:val="000000"/>
          <w:sz w:val="22"/>
          <w:shd w:val="clear" w:color="auto" w:fill="F9FBFB"/>
        </w:rPr>
        <w:t>行為分擔</w:t>
      </w:r>
      <w:r>
        <w:rPr>
          <w:rFonts w:ascii="Arial" w:hAnsi="Arial" w:cs="Arial"/>
          <w:color w:val="000000"/>
          <w:sz w:val="22"/>
          <w:shd w:val="clear" w:color="auto" w:fill="F9FBFB"/>
        </w:rPr>
        <w:t>)</w:t>
      </w:r>
      <w:r>
        <w:rPr>
          <w:rFonts w:ascii="Arial" w:hAnsi="Arial" w:cs="Arial"/>
          <w:color w:val="000000"/>
          <w:sz w:val="22"/>
          <w:shd w:val="clear" w:color="auto" w:fill="F9FBFB"/>
        </w:rPr>
        <w:t>而共同實現犯罪構成要件</w:t>
      </w:r>
      <w:r w:rsidR="00C16A42">
        <w:rPr>
          <w:rFonts w:ascii="Arial" w:hAnsi="Arial" w:cs="Arial" w:hint="eastAsia"/>
          <w:color w:val="000000"/>
          <w:sz w:val="22"/>
          <w:shd w:val="clear" w:color="auto" w:fill="F9FBFB"/>
          <w:vertAlign w:val="superscript"/>
        </w:rPr>
        <w:t>７</w:t>
      </w:r>
      <w:r>
        <w:rPr>
          <w:rFonts w:ascii="Arial" w:hAnsi="Arial" w:cs="Arial"/>
          <w:color w:val="000000"/>
          <w:sz w:val="22"/>
          <w:shd w:val="clear" w:color="auto" w:fill="F9FBFB"/>
        </w:rPr>
        <w:t>。實務及學說多數見解認為：過失犯因於欠缺主觀上之犯意聯絡，故無成立共同正犯之可能。然刑法學上對於</w:t>
      </w:r>
      <w:proofErr w:type="gramStart"/>
      <w:r>
        <w:rPr>
          <w:rFonts w:ascii="Arial" w:hAnsi="Arial" w:cs="Arial"/>
          <w:color w:val="000000"/>
          <w:sz w:val="22"/>
          <w:shd w:val="clear" w:color="auto" w:fill="F9FBFB"/>
        </w:rPr>
        <w:t>此類數人共同加功所</w:t>
      </w:r>
      <w:proofErr w:type="gramEnd"/>
      <w:r>
        <w:rPr>
          <w:rFonts w:ascii="Arial" w:hAnsi="Arial" w:cs="Arial"/>
          <w:color w:val="000000"/>
          <w:sz w:val="22"/>
          <w:shd w:val="clear" w:color="auto" w:fill="F9FBFB"/>
        </w:rPr>
        <w:t>實現</w:t>
      </w:r>
      <w:proofErr w:type="gramStart"/>
      <w:r>
        <w:rPr>
          <w:rFonts w:ascii="Arial" w:hAnsi="Arial" w:cs="Arial"/>
          <w:color w:val="000000"/>
          <w:sz w:val="22"/>
          <w:shd w:val="clear" w:color="auto" w:fill="F9FBFB"/>
        </w:rPr>
        <w:t>一</w:t>
      </w:r>
      <w:proofErr w:type="gramEnd"/>
      <w:r>
        <w:rPr>
          <w:rFonts w:ascii="Arial" w:hAnsi="Arial" w:cs="Arial"/>
          <w:color w:val="000000"/>
          <w:sz w:val="22"/>
          <w:shd w:val="clear" w:color="auto" w:fill="F9FBFB"/>
        </w:rPr>
        <w:t>行為事實者，有所謂同時犯之定義，本</w:t>
      </w:r>
      <w:proofErr w:type="gramStart"/>
      <w:r>
        <w:rPr>
          <w:rFonts w:ascii="Arial" w:hAnsi="Arial" w:cs="Arial"/>
          <w:color w:val="000000"/>
          <w:sz w:val="22"/>
          <w:shd w:val="clear" w:color="auto" w:fill="F9FBFB"/>
        </w:rPr>
        <w:t>案中甲及</w:t>
      </w:r>
      <w:proofErr w:type="gramEnd"/>
      <w:r>
        <w:rPr>
          <w:rFonts w:ascii="Arial" w:hAnsi="Arial" w:cs="Arial"/>
          <w:color w:val="000000"/>
          <w:sz w:val="22"/>
          <w:shd w:val="clear" w:color="auto" w:fill="F9FBFB"/>
        </w:rPr>
        <w:t>其他人之間並無致</w:t>
      </w:r>
      <w:r>
        <w:rPr>
          <w:rFonts w:ascii="Arial" w:hAnsi="Arial" w:cs="Arial"/>
          <w:color w:val="000000"/>
          <w:sz w:val="22"/>
          <w:shd w:val="clear" w:color="auto" w:fill="F9FBFB"/>
        </w:rPr>
        <w:t>C</w:t>
      </w:r>
      <w:r>
        <w:rPr>
          <w:rFonts w:ascii="Arial" w:hAnsi="Arial" w:cs="Arial"/>
          <w:color w:val="000000"/>
          <w:sz w:val="22"/>
          <w:shd w:val="clear" w:color="auto" w:fill="F9FBFB"/>
        </w:rPr>
        <w:t>死亡之故意，即無犯意之聯絡，故此僅討論甲等人之同時犯，又同時犯係屬單獨正犯之類型</w:t>
      </w:r>
      <w:r w:rsidR="00C16A42">
        <w:rPr>
          <w:rFonts w:ascii="Arial" w:hAnsi="Arial" w:cs="Arial" w:hint="eastAsia"/>
          <w:color w:val="000000"/>
          <w:szCs w:val="24"/>
          <w:shd w:val="clear" w:color="auto" w:fill="F9FBFB"/>
          <w:vertAlign w:val="superscript"/>
        </w:rPr>
        <w:t>８</w:t>
      </w:r>
      <w:r>
        <w:rPr>
          <w:rFonts w:ascii="Arial" w:hAnsi="Arial" w:cs="Arial"/>
          <w:color w:val="000000"/>
          <w:sz w:val="22"/>
          <w:shd w:val="clear" w:color="auto" w:fill="F9FBFB"/>
        </w:rPr>
        <w:t>，因此僅討論甲之行為，</w:t>
      </w:r>
      <w:proofErr w:type="gramStart"/>
      <w:r>
        <w:rPr>
          <w:rFonts w:ascii="Arial" w:hAnsi="Arial" w:cs="Arial"/>
          <w:color w:val="000000"/>
          <w:sz w:val="22"/>
          <w:shd w:val="clear" w:color="auto" w:fill="F9FBFB"/>
        </w:rPr>
        <w:t>合先敘</w:t>
      </w:r>
      <w:proofErr w:type="gramEnd"/>
      <w:r>
        <w:rPr>
          <w:rFonts w:ascii="Arial" w:hAnsi="Arial" w:cs="Arial"/>
          <w:color w:val="000000"/>
          <w:sz w:val="22"/>
          <w:shd w:val="clear" w:color="auto" w:fill="F9FBFB"/>
        </w:rPr>
        <w:t>明。</w:t>
      </w:r>
    </w:p>
    <w:p w14:paraId="56E42E5D" w14:textId="77777777" w:rsidR="00C16A42" w:rsidRPr="00C16A42" w:rsidRDefault="00C16A42" w:rsidP="00F869EC">
      <w:pPr>
        <w:rPr>
          <w:rFonts w:ascii="Arial" w:hAnsi="Arial" w:cs="Arial" w:hint="eastAsia"/>
          <w:color w:val="000000"/>
          <w:sz w:val="22"/>
          <w:shd w:val="clear" w:color="auto" w:fill="F9FBFB"/>
        </w:rPr>
      </w:pPr>
    </w:p>
    <w:p w14:paraId="25917E54" w14:textId="27753C2C" w:rsidR="00B13DEF" w:rsidRDefault="00B13DEF" w:rsidP="00F869EC">
      <w:r>
        <w:rPr>
          <w:rFonts w:hint="eastAsia"/>
        </w:rPr>
        <w:t>甲之行為是否構成</w:t>
      </w:r>
      <w:r>
        <w:rPr>
          <w:rFonts w:hint="eastAsia"/>
        </w:rPr>
        <w:t>278</w:t>
      </w:r>
      <w:r>
        <w:rPr>
          <w:rFonts w:hint="eastAsia"/>
        </w:rPr>
        <w:t>第二項傷害過失致死</w:t>
      </w:r>
      <w:r>
        <w:rPr>
          <w:rFonts w:hint="eastAsia"/>
        </w:rPr>
        <w:t>?</w:t>
      </w:r>
    </w:p>
    <w:p w14:paraId="57922672" w14:textId="77777777" w:rsidR="00C16A42" w:rsidRPr="00C16A42" w:rsidRDefault="00C16A42" w:rsidP="00F869EC"/>
    <w:p w14:paraId="6A11CF3C" w14:textId="0CDFD895" w:rsidR="00B13DEF" w:rsidRDefault="00B13DEF" w:rsidP="00F869EC">
      <w:pPr>
        <w:rPr>
          <w:szCs w:val="24"/>
        </w:rPr>
      </w:pPr>
    </w:p>
    <w:p w14:paraId="028476EB" w14:textId="77777777" w:rsidR="00C16A42" w:rsidRDefault="00C16A42" w:rsidP="00F869EC">
      <w:pPr>
        <w:rPr>
          <w:rFonts w:hint="eastAsia"/>
          <w:szCs w:val="24"/>
        </w:rPr>
      </w:pPr>
    </w:p>
    <w:p w14:paraId="04F16EC5" w14:textId="5D930EFA" w:rsidR="0085203E" w:rsidRDefault="0085203E" w:rsidP="00F869EC">
      <w:pPr>
        <w:rPr>
          <w:szCs w:val="24"/>
        </w:rPr>
      </w:pPr>
      <w:r>
        <w:rPr>
          <w:noProof/>
          <w:szCs w:val="24"/>
        </w:rPr>
        <w:drawing>
          <wp:inline distT="0" distB="0" distL="0" distR="0" wp14:anchorId="0E0E8B91" wp14:editId="37694BF0">
            <wp:extent cx="5438140" cy="2413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8140" cy="24130"/>
                    </a:xfrm>
                    <a:prstGeom prst="rect">
                      <a:avLst/>
                    </a:prstGeom>
                    <a:noFill/>
                  </pic:spPr>
                </pic:pic>
              </a:graphicData>
            </a:graphic>
          </wp:inline>
        </w:drawing>
      </w:r>
    </w:p>
    <w:p w14:paraId="32D52AF5" w14:textId="2BAE75CB" w:rsidR="0085203E" w:rsidRPr="00CF105F" w:rsidRDefault="0085203E" w:rsidP="00C16A42">
      <w:pPr>
        <w:pStyle w:val="a3"/>
        <w:numPr>
          <w:ilvl w:val="0"/>
          <w:numId w:val="11"/>
        </w:numPr>
        <w:ind w:leftChars="0"/>
        <w:rPr>
          <w:sz w:val="20"/>
          <w:szCs w:val="20"/>
        </w:rPr>
      </w:pPr>
      <w:bookmarkStart w:id="0" w:name="_Hlk166368201"/>
      <w:r w:rsidRPr="00CF105F">
        <w:rPr>
          <w:rFonts w:hint="eastAsia"/>
          <w:sz w:val="20"/>
          <w:szCs w:val="20"/>
        </w:rPr>
        <w:t>許則天，刑法分則下冊五版，頁１６８，２０２３年</w:t>
      </w:r>
      <w:proofErr w:type="gramStart"/>
      <w:r w:rsidRPr="00CF105F">
        <w:rPr>
          <w:rFonts w:hint="eastAsia"/>
          <w:sz w:val="20"/>
          <w:szCs w:val="20"/>
        </w:rPr>
        <w:t>１０</w:t>
      </w:r>
      <w:proofErr w:type="gramEnd"/>
      <w:r w:rsidRPr="00CF105F">
        <w:rPr>
          <w:rFonts w:hint="eastAsia"/>
          <w:sz w:val="20"/>
          <w:szCs w:val="20"/>
        </w:rPr>
        <w:t>月</w:t>
      </w:r>
      <w:bookmarkEnd w:id="0"/>
    </w:p>
    <w:p w14:paraId="5B9E5E94" w14:textId="41B72FB8" w:rsidR="00CF105F" w:rsidRDefault="0085203E" w:rsidP="00C16A42">
      <w:pPr>
        <w:pStyle w:val="a3"/>
        <w:numPr>
          <w:ilvl w:val="0"/>
          <w:numId w:val="11"/>
        </w:numPr>
        <w:ind w:leftChars="0"/>
        <w:rPr>
          <w:sz w:val="20"/>
          <w:szCs w:val="20"/>
        </w:rPr>
      </w:pPr>
      <w:r w:rsidRPr="00CF105F">
        <w:rPr>
          <w:rFonts w:hint="eastAsia"/>
          <w:sz w:val="20"/>
          <w:szCs w:val="20"/>
        </w:rPr>
        <w:t>參與鬥毆之人不論是否事先約定或認識都與本罪的成立無關，實務上的聚眾則指參與鬥</w:t>
      </w:r>
      <w:r w:rsidR="00C16A42">
        <w:rPr>
          <w:rFonts w:hint="eastAsia"/>
          <w:sz w:val="20"/>
          <w:szCs w:val="20"/>
        </w:rPr>
        <w:t xml:space="preserve">　　　　　</w:t>
      </w:r>
      <w:proofErr w:type="gramStart"/>
      <w:r w:rsidRPr="00CF105F">
        <w:rPr>
          <w:rFonts w:hint="eastAsia"/>
          <w:sz w:val="20"/>
          <w:szCs w:val="20"/>
        </w:rPr>
        <w:t>毆</w:t>
      </w:r>
      <w:proofErr w:type="gramEnd"/>
      <w:r w:rsidRPr="00CF105F">
        <w:rPr>
          <w:rFonts w:hint="eastAsia"/>
          <w:sz w:val="20"/>
          <w:szCs w:val="20"/>
        </w:rPr>
        <w:t>多數人有隨時可以增加的狀況</w:t>
      </w:r>
      <w:r w:rsidR="008600D1" w:rsidRPr="00CF105F">
        <w:rPr>
          <w:rFonts w:hint="eastAsia"/>
          <w:sz w:val="20"/>
          <w:szCs w:val="20"/>
        </w:rPr>
        <w:t>，</w:t>
      </w:r>
      <w:r w:rsidRPr="00CF105F">
        <w:rPr>
          <w:rFonts w:hint="eastAsia"/>
          <w:sz w:val="20"/>
          <w:szCs w:val="20"/>
        </w:rPr>
        <w:t>許則天</w:t>
      </w:r>
      <w:r w:rsidR="008600D1" w:rsidRPr="00CF105F">
        <w:rPr>
          <w:rFonts w:hint="eastAsia"/>
          <w:sz w:val="20"/>
          <w:szCs w:val="20"/>
        </w:rPr>
        <w:t>，刑法分則下冊五版，頁１６７，２０２３年１</w:t>
      </w:r>
      <w:r w:rsidR="00C16A42">
        <w:rPr>
          <w:rFonts w:hint="eastAsia"/>
          <w:sz w:val="20"/>
          <w:szCs w:val="20"/>
        </w:rPr>
        <w:t xml:space="preserve">　</w:t>
      </w:r>
      <w:proofErr w:type="gramStart"/>
      <w:r w:rsidR="008600D1" w:rsidRPr="00CF105F">
        <w:rPr>
          <w:rFonts w:hint="eastAsia"/>
          <w:sz w:val="20"/>
          <w:szCs w:val="20"/>
        </w:rPr>
        <w:t>０</w:t>
      </w:r>
      <w:proofErr w:type="gramEnd"/>
      <w:r w:rsidR="008600D1" w:rsidRPr="00CF105F">
        <w:rPr>
          <w:rFonts w:hint="eastAsia"/>
          <w:sz w:val="20"/>
          <w:szCs w:val="20"/>
        </w:rPr>
        <w:t>月</w:t>
      </w:r>
    </w:p>
    <w:p w14:paraId="187AB130" w14:textId="5C881412" w:rsidR="00CF105F" w:rsidRPr="00C16A42" w:rsidRDefault="00B13DEF" w:rsidP="00C16A42">
      <w:pPr>
        <w:pStyle w:val="a3"/>
        <w:widowControl/>
        <w:numPr>
          <w:ilvl w:val="0"/>
          <w:numId w:val="11"/>
        </w:numPr>
        <w:ind w:leftChars="0"/>
        <w:rPr>
          <w:sz w:val="20"/>
          <w:szCs w:val="20"/>
        </w:rPr>
      </w:pPr>
      <w:r w:rsidRPr="00C16A42">
        <w:rPr>
          <w:rFonts w:hint="eastAsia"/>
          <w:sz w:val="20"/>
          <w:szCs w:val="20"/>
        </w:rPr>
        <w:t>王皇玉，刑法總則，頁４５９，２０２２年</w:t>
      </w:r>
      <w:proofErr w:type="gramStart"/>
      <w:r w:rsidRPr="00C16A42">
        <w:rPr>
          <w:rFonts w:hint="eastAsia"/>
          <w:sz w:val="20"/>
          <w:szCs w:val="20"/>
        </w:rPr>
        <w:t>８</w:t>
      </w:r>
      <w:proofErr w:type="gramEnd"/>
      <w:r w:rsidRPr="00C16A42">
        <w:rPr>
          <w:rFonts w:hint="eastAsia"/>
          <w:sz w:val="20"/>
          <w:szCs w:val="20"/>
        </w:rPr>
        <w:t>月８版</w:t>
      </w:r>
    </w:p>
    <w:p w14:paraId="6B76DC5D" w14:textId="10ABC5BB" w:rsidR="00B13DEF" w:rsidRPr="00C16A42" w:rsidRDefault="00B13DEF" w:rsidP="00C16A42">
      <w:pPr>
        <w:pStyle w:val="a3"/>
        <w:widowControl/>
        <w:numPr>
          <w:ilvl w:val="0"/>
          <w:numId w:val="11"/>
        </w:numPr>
        <w:ind w:leftChars="0"/>
        <w:rPr>
          <w:rFonts w:hint="eastAsia"/>
          <w:sz w:val="20"/>
          <w:szCs w:val="20"/>
        </w:rPr>
      </w:pPr>
      <w:r w:rsidRPr="00C16A42">
        <w:rPr>
          <w:rFonts w:hint="eastAsia"/>
          <w:sz w:val="20"/>
          <w:szCs w:val="20"/>
        </w:rPr>
        <w:t>柯耀程，刑法概論</w:t>
      </w:r>
      <w:r w:rsidR="00C16A42" w:rsidRPr="00C16A42">
        <w:rPr>
          <w:rFonts w:hint="eastAsia"/>
          <w:sz w:val="20"/>
          <w:szCs w:val="20"/>
        </w:rPr>
        <w:t>一，頁５９４，２０１４年</w:t>
      </w:r>
      <w:proofErr w:type="gramStart"/>
      <w:r w:rsidR="00C16A42" w:rsidRPr="00C16A42">
        <w:rPr>
          <w:rFonts w:hint="eastAsia"/>
          <w:sz w:val="20"/>
          <w:szCs w:val="20"/>
        </w:rPr>
        <w:t>８</w:t>
      </w:r>
      <w:proofErr w:type="gramEnd"/>
      <w:r w:rsidR="00C16A42" w:rsidRPr="00C16A42">
        <w:rPr>
          <w:rFonts w:hint="eastAsia"/>
          <w:sz w:val="20"/>
          <w:szCs w:val="20"/>
        </w:rPr>
        <w:t>月</w:t>
      </w:r>
    </w:p>
    <w:p w14:paraId="26131192" w14:textId="77777777" w:rsidR="00C16A42" w:rsidRDefault="00C16A42" w:rsidP="00C16A42">
      <w:r>
        <w:rPr>
          <w:rFonts w:hint="eastAsia"/>
        </w:rPr>
        <w:lastRenderedPageBreak/>
        <w:t>甲之行為是否構成</w:t>
      </w:r>
      <w:r>
        <w:rPr>
          <w:rFonts w:hint="eastAsia"/>
        </w:rPr>
        <w:t>278</w:t>
      </w:r>
      <w:r>
        <w:rPr>
          <w:rFonts w:hint="eastAsia"/>
        </w:rPr>
        <w:t>第二項傷害過失致死</w:t>
      </w:r>
      <w:r>
        <w:rPr>
          <w:rFonts w:hint="eastAsia"/>
        </w:rPr>
        <w:t>?</w:t>
      </w:r>
    </w:p>
    <w:p w14:paraId="61A22FDD" w14:textId="77777777" w:rsidR="00C16A42" w:rsidRPr="00C16A42" w:rsidRDefault="00C16A42" w:rsidP="00C16A42">
      <w:pPr>
        <w:pStyle w:val="Web"/>
        <w:spacing w:before="0" w:beforeAutospacing="0" w:after="0" w:afterAutospacing="0"/>
        <w:rPr>
          <w:rFonts w:ascii="Arial" w:hAnsi="Arial" w:cs="Arial"/>
          <w:color w:val="000000"/>
          <w:sz w:val="22"/>
          <w:szCs w:val="22"/>
        </w:rPr>
      </w:pPr>
    </w:p>
    <w:p w14:paraId="46D099B3" w14:textId="4E6707C7" w:rsidR="00C16A42" w:rsidRPr="00AD6BC6" w:rsidRDefault="00C16A42" w:rsidP="00C16A42">
      <w:pPr>
        <w:pStyle w:val="Web"/>
        <w:spacing w:before="0" w:beforeAutospacing="0" w:after="0" w:afterAutospacing="0"/>
        <w:rPr>
          <w:rFonts w:ascii="Arial" w:hAnsi="Arial" w:cs="Arial" w:hint="eastAsia"/>
          <w:color w:val="000000"/>
        </w:rPr>
      </w:pPr>
      <w:r w:rsidRPr="00AD6BC6">
        <w:rPr>
          <w:rFonts w:ascii="Arial" w:hAnsi="Arial" w:cs="Arial"/>
          <w:color w:val="000000"/>
        </w:rPr>
        <w:t>構成要件該當性</w:t>
      </w:r>
    </w:p>
    <w:p w14:paraId="3224C011" w14:textId="77777777" w:rsidR="00C16A42" w:rsidRPr="00AD6BC6" w:rsidRDefault="00C16A42" w:rsidP="00C16A42">
      <w:pPr>
        <w:pStyle w:val="Web"/>
        <w:spacing w:before="0" w:beforeAutospacing="0" w:after="0" w:afterAutospacing="0"/>
        <w:rPr>
          <w:sz w:val="28"/>
          <w:szCs w:val="28"/>
        </w:rPr>
      </w:pPr>
      <w:r w:rsidRPr="00AD6BC6">
        <w:rPr>
          <w:rFonts w:ascii="Arial" w:hAnsi="Arial" w:cs="Arial"/>
          <w:color w:val="000000"/>
        </w:rPr>
        <w:t>  </w:t>
      </w:r>
      <w:r w:rsidRPr="00AD6BC6">
        <w:rPr>
          <w:rStyle w:val="apple-tab-span"/>
          <w:rFonts w:ascii="Arial" w:hAnsi="Arial" w:cs="Arial"/>
          <w:color w:val="000000"/>
        </w:rPr>
        <w:tab/>
      </w:r>
      <w:r w:rsidRPr="00AD6BC6">
        <w:rPr>
          <w:rFonts w:ascii="Arial" w:hAnsi="Arial" w:cs="Arial"/>
          <w:color w:val="000000"/>
        </w:rPr>
        <w:t>客觀構成要件</w:t>
      </w:r>
    </w:p>
    <w:p w14:paraId="46E91F6C" w14:textId="1268F77C" w:rsidR="00C16A42" w:rsidRPr="00AD6BC6" w:rsidRDefault="00C16A42" w:rsidP="00C16A42">
      <w:pPr>
        <w:pStyle w:val="Web"/>
        <w:spacing w:before="0" w:beforeAutospacing="0" w:after="0" w:afterAutospacing="0"/>
        <w:rPr>
          <w:sz w:val="28"/>
          <w:szCs w:val="28"/>
        </w:rPr>
      </w:pPr>
      <w:r w:rsidRPr="00AD6BC6">
        <w:rPr>
          <w:rFonts w:ascii="Arial" w:hAnsi="Arial" w:cs="Arial"/>
          <w:color w:val="000000"/>
        </w:rPr>
        <w:t>在過失犯之構成要件判斷上，應先確定行為與結果之間具有因果關係，審查因果關係時，通說係</w:t>
      </w:r>
      <w:proofErr w:type="gramStart"/>
      <w:r w:rsidRPr="00AD6BC6">
        <w:rPr>
          <w:rFonts w:ascii="Arial" w:hAnsi="Arial" w:cs="Arial"/>
          <w:color w:val="000000"/>
        </w:rPr>
        <w:t>採</w:t>
      </w:r>
      <w:proofErr w:type="gramEnd"/>
      <w:r w:rsidRPr="00AD6BC6">
        <w:rPr>
          <w:rFonts w:ascii="Arial" w:hAnsi="Arial" w:cs="Arial"/>
          <w:color w:val="000000"/>
        </w:rPr>
        <w:t>條件理論說</w:t>
      </w:r>
      <w:r w:rsidRPr="00AD6BC6">
        <w:rPr>
          <w:rFonts w:ascii="Arial" w:hAnsi="Arial" w:cs="Arial" w:hint="eastAsia"/>
          <w:color w:val="000000"/>
          <w:vertAlign w:val="superscript"/>
        </w:rPr>
        <w:t>９</w:t>
      </w:r>
      <w:r w:rsidRPr="00AD6BC6">
        <w:rPr>
          <w:rFonts w:ascii="Arial" w:hAnsi="Arial" w:cs="Arial"/>
          <w:color w:val="000000"/>
        </w:rPr>
        <w:t>，即行為須是導致結果發生之不可想像其不存在之條件方可認定其具備因果關係；而實務上多</w:t>
      </w:r>
      <w:proofErr w:type="gramStart"/>
      <w:r w:rsidRPr="00AD6BC6">
        <w:rPr>
          <w:rFonts w:ascii="Arial" w:hAnsi="Arial" w:cs="Arial"/>
          <w:color w:val="000000"/>
        </w:rPr>
        <w:t>採</w:t>
      </w:r>
      <w:proofErr w:type="gramEnd"/>
      <w:r w:rsidRPr="00AD6BC6">
        <w:rPr>
          <w:rFonts w:ascii="Arial" w:hAnsi="Arial" w:cs="Arial"/>
          <w:color w:val="000000"/>
        </w:rPr>
        <w:t>相當因果關係說</w:t>
      </w:r>
      <w:r w:rsidRPr="00AD6BC6">
        <w:rPr>
          <w:rFonts w:ascii="Arial" w:hAnsi="Arial" w:cs="Arial" w:hint="eastAsia"/>
          <w:color w:val="000000"/>
          <w:vertAlign w:val="superscript"/>
        </w:rPr>
        <w:t>１０</w:t>
      </w:r>
      <w:r w:rsidRPr="00AD6BC6">
        <w:rPr>
          <w:rFonts w:ascii="Arial" w:hAnsi="Arial" w:cs="Arial"/>
          <w:color w:val="000000"/>
        </w:rPr>
        <w:t>，係指依經驗法則，綜合行為當時所存在之一切事實，為客觀之事後審查，認為在一般情形下，有此環境，有此行為之同一條件，均可發生同一之結果者，則該條件即為發生結果之相當條件，行為與結果即有相當之因果關係。反之若在一般情形下，有此同一條件存在，而依客觀之審查，認為不必皆發生此結果者，則該條件與結果並不相當，不過為偶然之事實而已，其行為與</w:t>
      </w:r>
      <w:proofErr w:type="gramStart"/>
      <w:r w:rsidRPr="00AD6BC6">
        <w:rPr>
          <w:rFonts w:ascii="Arial" w:hAnsi="Arial" w:cs="Arial"/>
          <w:color w:val="000000"/>
        </w:rPr>
        <w:t>結果間即無</w:t>
      </w:r>
      <w:proofErr w:type="gramEnd"/>
      <w:r w:rsidRPr="00AD6BC6">
        <w:rPr>
          <w:rFonts w:ascii="Arial" w:hAnsi="Arial" w:cs="Arial"/>
          <w:color w:val="000000"/>
        </w:rPr>
        <w:t>相當因果關係。甲及其他十餘人共同</w:t>
      </w:r>
      <w:proofErr w:type="gramStart"/>
      <w:r w:rsidRPr="00AD6BC6">
        <w:rPr>
          <w:rFonts w:ascii="Arial" w:hAnsi="Arial" w:cs="Arial"/>
          <w:color w:val="000000"/>
        </w:rPr>
        <w:t>和夜店人員</w:t>
      </w:r>
      <w:proofErr w:type="gramEnd"/>
      <w:r w:rsidRPr="00AD6BC6">
        <w:rPr>
          <w:rFonts w:ascii="Arial" w:hAnsi="Arial" w:cs="Arial"/>
          <w:color w:val="000000"/>
        </w:rPr>
        <w:t>爆發衝突，此為警員</w:t>
      </w:r>
      <w:r w:rsidRPr="00AD6BC6">
        <w:rPr>
          <w:rFonts w:ascii="Arial" w:hAnsi="Arial" w:cs="Arial"/>
          <w:color w:val="000000"/>
        </w:rPr>
        <w:t>C</w:t>
      </w:r>
      <w:r w:rsidRPr="00AD6BC6">
        <w:rPr>
          <w:rFonts w:ascii="Arial" w:hAnsi="Arial" w:cs="Arial"/>
          <w:color w:val="000000"/>
        </w:rPr>
        <w:t>死亡之不可想像其不存在之條件，且於一般條件下，衝突跟傷害乃至死亡具有常態之因果關係，故無論</w:t>
      </w:r>
      <w:proofErr w:type="gramStart"/>
      <w:r w:rsidRPr="00AD6BC6">
        <w:rPr>
          <w:rFonts w:ascii="Arial" w:hAnsi="Arial" w:cs="Arial"/>
          <w:color w:val="000000"/>
        </w:rPr>
        <w:t>採</w:t>
      </w:r>
      <w:proofErr w:type="gramEnd"/>
      <w:r w:rsidRPr="00AD6BC6">
        <w:rPr>
          <w:rFonts w:ascii="Arial" w:hAnsi="Arial" w:cs="Arial"/>
          <w:color w:val="000000"/>
        </w:rPr>
        <w:t>哪一說均具有因果關係。</w:t>
      </w:r>
    </w:p>
    <w:p w14:paraId="78674481" w14:textId="77777777" w:rsidR="00C16A42" w:rsidRPr="00AD6BC6" w:rsidRDefault="00C16A42" w:rsidP="00C16A42">
      <w:pPr>
        <w:pStyle w:val="Web"/>
        <w:spacing w:before="0" w:beforeAutospacing="0" w:after="0" w:afterAutospacing="0"/>
        <w:rPr>
          <w:sz w:val="28"/>
          <w:szCs w:val="28"/>
        </w:rPr>
      </w:pPr>
      <w:proofErr w:type="gramStart"/>
      <w:r w:rsidRPr="00AD6BC6">
        <w:rPr>
          <w:rFonts w:ascii="Arial" w:hAnsi="Arial" w:cs="Arial"/>
          <w:color w:val="000000"/>
        </w:rPr>
        <w:t>又甲於夜店</w:t>
      </w:r>
      <w:proofErr w:type="gramEnd"/>
      <w:r w:rsidRPr="00AD6BC6">
        <w:rPr>
          <w:rFonts w:ascii="Arial" w:hAnsi="Arial" w:cs="Arial"/>
          <w:color w:val="000000"/>
        </w:rPr>
        <w:t>門口鬧事乃與保安發生肢體衝突，顯然違反一般理性之人於社會共同生活中之維護秩序之義務，而近一步製造法所不容許之風險，因此甲之行為不法。綜上所述，甲有可被客觀歸責之事由。</w:t>
      </w:r>
    </w:p>
    <w:p w14:paraId="2CBBF3A3" w14:textId="77777777" w:rsidR="00C16A42" w:rsidRPr="00AD6BC6" w:rsidRDefault="00C16A42" w:rsidP="00C16A42">
      <w:pPr>
        <w:pStyle w:val="Web"/>
        <w:spacing w:before="0" w:beforeAutospacing="0" w:after="0" w:afterAutospacing="0"/>
        <w:rPr>
          <w:sz w:val="28"/>
          <w:szCs w:val="28"/>
        </w:rPr>
      </w:pPr>
      <w:r w:rsidRPr="00AD6BC6">
        <w:rPr>
          <w:rFonts w:ascii="Arial" w:hAnsi="Arial" w:cs="Arial"/>
          <w:color w:val="000000"/>
        </w:rPr>
        <w:t>主觀構成要件</w:t>
      </w:r>
    </w:p>
    <w:p w14:paraId="417E87E9" w14:textId="77777777" w:rsidR="00C16A42" w:rsidRPr="00AD6BC6" w:rsidRDefault="00C16A42" w:rsidP="00C16A42">
      <w:pPr>
        <w:pStyle w:val="Web"/>
        <w:spacing w:before="0" w:beforeAutospacing="0" w:after="0" w:afterAutospacing="0"/>
        <w:rPr>
          <w:sz w:val="28"/>
          <w:szCs w:val="28"/>
        </w:rPr>
      </w:pPr>
      <w:proofErr w:type="gramStart"/>
      <w:r w:rsidRPr="00AD6BC6">
        <w:rPr>
          <w:rFonts w:ascii="Arial" w:hAnsi="Arial" w:cs="Arial"/>
          <w:color w:val="000000"/>
        </w:rPr>
        <w:t>甲雖無殺</w:t>
      </w:r>
      <w:proofErr w:type="gramEnd"/>
      <w:r w:rsidRPr="00AD6BC6">
        <w:rPr>
          <w:rFonts w:ascii="Arial" w:hAnsi="Arial" w:cs="Arial"/>
          <w:color w:val="000000"/>
        </w:rPr>
        <w:t>C</w:t>
      </w:r>
      <w:r w:rsidRPr="00AD6BC6">
        <w:rPr>
          <w:rFonts w:ascii="Arial" w:hAnsi="Arial" w:cs="Arial"/>
          <w:color w:val="000000"/>
        </w:rPr>
        <w:t>之犯意，但應對其衝突於</w:t>
      </w:r>
      <w:r w:rsidRPr="00AD6BC6">
        <w:rPr>
          <w:rFonts w:ascii="Arial" w:hAnsi="Arial" w:cs="Arial"/>
          <w:color w:val="000000"/>
        </w:rPr>
        <w:t>C</w:t>
      </w:r>
      <w:r w:rsidRPr="00AD6BC6">
        <w:rPr>
          <w:rFonts w:ascii="Arial" w:hAnsi="Arial" w:cs="Arial"/>
          <w:color w:val="000000"/>
        </w:rPr>
        <w:t>之死亡間之關係具有預見及避免之可能，因此具有過失。</w:t>
      </w:r>
    </w:p>
    <w:p w14:paraId="2E30CB5D" w14:textId="77777777" w:rsidR="00C16A42" w:rsidRPr="00AD6BC6" w:rsidRDefault="00C16A42" w:rsidP="00C16A42">
      <w:pPr>
        <w:pStyle w:val="Web"/>
        <w:spacing w:before="0" w:beforeAutospacing="0" w:after="0" w:afterAutospacing="0"/>
        <w:rPr>
          <w:sz w:val="28"/>
          <w:szCs w:val="28"/>
        </w:rPr>
      </w:pPr>
      <w:r w:rsidRPr="00AD6BC6">
        <w:rPr>
          <w:rFonts w:ascii="Arial" w:hAnsi="Arial" w:cs="Arial"/>
          <w:color w:val="000000"/>
        </w:rPr>
        <w:t>違法性及罪責</w:t>
      </w:r>
      <w:proofErr w:type="gramStart"/>
      <w:r w:rsidRPr="00AD6BC6">
        <w:rPr>
          <w:rFonts w:ascii="Arial" w:hAnsi="Arial" w:cs="Arial"/>
          <w:color w:val="000000"/>
        </w:rPr>
        <w:t>﹔</w:t>
      </w:r>
      <w:proofErr w:type="gramEnd"/>
      <w:r w:rsidRPr="00AD6BC6">
        <w:rPr>
          <w:rFonts w:ascii="Arial" w:hAnsi="Arial" w:cs="Arial"/>
          <w:color w:val="000000"/>
        </w:rPr>
        <w:t>甲無任</w:t>
      </w:r>
      <w:proofErr w:type="gramStart"/>
      <w:r w:rsidRPr="00AD6BC6">
        <w:rPr>
          <w:rFonts w:ascii="Arial" w:hAnsi="Arial" w:cs="Arial"/>
          <w:color w:val="000000"/>
        </w:rPr>
        <w:t>何阻卻及</w:t>
      </w:r>
      <w:proofErr w:type="gramEnd"/>
      <w:r w:rsidRPr="00AD6BC6">
        <w:rPr>
          <w:rFonts w:ascii="Arial" w:hAnsi="Arial" w:cs="Arial"/>
          <w:color w:val="000000"/>
        </w:rPr>
        <w:t>違法事由。</w:t>
      </w:r>
    </w:p>
    <w:p w14:paraId="6D294224" w14:textId="62DB4BCC" w:rsidR="00B13DEF" w:rsidRPr="00AD6BC6" w:rsidRDefault="00B13DEF">
      <w:pPr>
        <w:widowControl/>
        <w:rPr>
          <w:sz w:val="22"/>
        </w:rPr>
      </w:pPr>
    </w:p>
    <w:p w14:paraId="46DE63A6" w14:textId="5B47632D" w:rsidR="00AD6BC6" w:rsidRPr="00AD6BC6" w:rsidRDefault="00AD6BC6" w:rsidP="00AD6BC6">
      <w:pPr>
        <w:pStyle w:val="Web"/>
        <w:spacing w:before="0" w:beforeAutospacing="0" w:after="0" w:afterAutospacing="0"/>
        <w:rPr>
          <w:sz w:val="28"/>
          <w:szCs w:val="28"/>
        </w:rPr>
      </w:pPr>
      <w:proofErr w:type="gramStart"/>
      <w:r w:rsidRPr="00AD6BC6">
        <w:rPr>
          <w:rFonts w:ascii="Arial" w:hAnsi="Arial" w:cs="Arial" w:hint="eastAsia"/>
          <w:color w:val="000000"/>
        </w:rPr>
        <w:t>故</w:t>
      </w:r>
      <w:r w:rsidRPr="00AD6BC6">
        <w:rPr>
          <w:rFonts w:ascii="Arial" w:hAnsi="Arial" w:cs="Arial"/>
          <w:color w:val="000000"/>
        </w:rPr>
        <w:t>甲與</w:t>
      </w:r>
      <w:proofErr w:type="gramEnd"/>
      <w:r w:rsidRPr="00AD6BC6">
        <w:rPr>
          <w:rFonts w:ascii="Arial" w:hAnsi="Arial" w:cs="Arial"/>
          <w:color w:val="000000"/>
        </w:rPr>
        <w:t>保安爆發肢體衝突，致警員</w:t>
      </w:r>
      <w:r w:rsidRPr="00AD6BC6">
        <w:rPr>
          <w:rFonts w:ascii="Arial" w:hAnsi="Arial" w:cs="Arial"/>
          <w:color w:val="000000"/>
        </w:rPr>
        <w:t>C</w:t>
      </w:r>
      <w:r w:rsidRPr="00AD6BC6">
        <w:rPr>
          <w:rFonts w:ascii="Arial" w:hAnsi="Arial" w:cs="Arial"/>
          <w:color w:val="000000"/>
        </w:rPr>
        <w:t>死亡之行為，成立刑法第</w:t>
      </w:r>
      <w:r w:rsidRPr="00AD6BC6">
        <w:rPr>
          <w:rFonts w:ascii="Arial" w:hAnsi="Arial" w:cs="Arial"/>
          <w:color w:val="000000"/>
        </w:rPr>
        <w:t>276</w:t>
      </w:r>
      <w:r w:rsidRPr="00AD6BC6">
        <w:rPr>
          <w:rFonts w:ascii="Arial" w:hAnsi="Arial" w:cs="Arial"/>
          <w:color w:val="000000"/>
        </w:rPr>
        <w:t>條過失致死罪。</w:t>
      </w:r>
    </w:p>
    <w:p w14:paraId="11F7C088" w14:textId="68A1D8B4" w:rsidR="00B13DEF" w:rsidRPr="00AD6BC6" w:rsidRDefault="00B13DEF">
      <w:pPr>
        <w:widowControl/>
        <w:rPr>
          <w:sz w:val="20"/>
          <w:szCs w:val="20"/>
        </w:rPr>
      </w:pPr>
    </w:p>
    <w:p w14:paraId="24034D2E" w14:textId="34EE5544" w:rsidR="00B13DEF" w:rsidRDefault="00C16A42">
      <w:pPr>
        <w:widowControl/>
        <w:rPr>
          <w:sz w:val="20"/>
          <w:szCs w:val="20"/>
        </w:rPr>
      </w:pPr>
      <w:r>
        <w:rPr>
          <w:noProof/>
          <w:szCs w:val="24"/>
        </w:rPr>
        <w:drawing>
          <wp:inline distT="0" distB="0" distL="0" distR="0" wp14:anchorId="3649F1D6" wp14:editId="0E7205CC">
            <wp:extent cx="5274310" cy="234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3403"/>
                    </a:xfrm>
                    <a:prstGeom prst="rect">
                      <a:avLst/>
                    </a:prstGeom>
                    <a:noFill/>
                  </pic:spPr>
                </pic:pic>
              </a:graphicData>
            </a:graphic>
          </wp:inline>
        </w:drawing>
      </w:r>
    </w:p>
    <w:p w14:paraId="0620EE5C" w14:textId="55CBE158" w:rsidR="00B13DEF" w:rsidRPr="00C16A42" w:rsidRDefault="00C16A42" w:rsidP="00C16A42">
      <w:pPr>
        <w:pStyle w:val="a3"/>
        <w:widowControl/>
        <w:numPr>
          <w:ilvl w:val="0"/>
          <w:numId w:val="11"/>
        </w:numPr>
        <w:ind w:leftChars="0"/>
        <w:rPr>
          <w:sz w:val="20"/>
          <w:szCs w:val="20"/>
        </w:rPr>
      </w:pPr>
      <w:r w:rsidRPr="00C16A42">
        <w:rPr>
          <w:rFonts w:hint="eastAsia"/>
          <w:sz w:val="20"/>
          <w:szCs w:val="20"/>
        </w:rPr>
        <w:t>柯耀城</w:t>
      </w:r>
      <w:r>
        <w:rPr>
          <w:rFonts w:hint="eastAsia"/>
          <w:sz w:val="20"/>
          <w:szCs w:val="20"/>
        </w:rPr>
        <w:t>，</w:t>
      </w:r>
      <w:proofErr w:type="gramStart"/>
      <w:r w:rsidRPr="00C16A42">
        <w:rPr>
          <w:rFonts w:hint="eastAsia"/>
          <w:sz w:val="20"/>
          <w:szCs w:val="20"/>
        </w:rPr>
        <w:t>刑法釋論</w:t>
      </w:r>
      <w:proofErr w:type="gramEnd"/>
      <w:r w:rsidRPr="00C16A42">
        <w:rPr>
          <w:rFonts w:hint="eastAsia"/>
          <w:sz w:val="20"/>
          <w:szCs w:val="20"/>
        </w:rPr>
        <w:t>一</w:t>
      </w:r>
      <w:r>
        <w:rPr>
          <w:rFonts w:hint="eastAsia"/>
          <w:sz w:val="20"/>
          <w:szCs w:val="20"/>
        </w:rPr>
        <w:t>，頁３３２，２０１４年八月</w:t>
      </w:r>
      <w:r w:rsidR="00AD6BC6">
        <w:rPr>
          <w:sz w:val="20"/>
          <w:szCs w:val="20"/>
        </w:rPr>
        <w:tab/>
      </w:r>
    </w:p>
    <w:p w14:paraId="137F5676" w14:textId="062BB310" w:rsidR="00B13DEF" w:rsidRPr="00C16A42" w:rsidRDefault="00C16A42" w:rsidP="00C16A42">
      <w:pPr>
        <w:pStyle w:val="a3"/>
        <w:widowControl/>
        <w:numPr>
          <w:ilvl w:val="0"/>
          <w:numId w:val="11"/>
        </w:numPr>
        <w:ind w:leftChars="0"/>
        <w:rPr>
          <w:sz w:val="20"/>
          <w:szCs w:val="20"/>
        </w:rPr>
      </w:pPr>
      <w:r w:rsidRPr="00C16A42">
        <w:rPr>
          <w:rFonts w:hint="eastAsia"/>
          <w:sz w:val="20"/>
          <w:szCs w:val="20"/>
        </w:rPr>
        <w:t>最高法院</w:t>
      </w:r>
      <w:r w:rsidRPr="00C16A42">
        <w:rPr>
          <w:rFonts w:hint="eastAsia"/>
          <w:sz w:val="20"/>
          <w:szCs w:val="20"/>
        </w:rPr>
        <w:t>76</w:t>
      </w:r>
      <w:r w:rsidRPr="00C16A42">
        <w:rPr>
          <w:rFonts w:hint="eastAsia"/>
          <w:sz w:val="20"/>
          <w:szCs w:val="20"/>
        </w:rPr>
        <w:t>年度台上字第</w:t>
      </w:r>
      <w:r w:rsidRPr="00C16A42">
        <w:rPr>
          <w:rFonts w:hint="eastAsia"/>
          <w:sz w:val="20"/>
          <w:szCs w:val="20"/>
        </w:rPr>
        <w:t>192</w:t>
      </w:r>
      <w:r w:rsidRPr="00C16A42">
        <w:rPr>
          <w:rFonts w:hint="eastAsia"/>
          <w:sz w:val="20"/>
          <w:szCs w:val="20"/>
        </w:rPr>
        <w:t>號判例</w:t>
      </w:r>
    </w:p>
    <w:p w14:paraId="0BC9EAB7" w14:textId="5865610A" w:rsidR="00AD6BC6" w:rsidRDefault="00AD6BC6">
      <w:pPr>
        <w:widowControl/>
        <w:rPr>
          <w:sz w:val="20"/>
          <w:szCs w:val="20"/>
        </w:rPr>
      </w:pPr>
      <w:r>
        <w:rPr>
          <w:sz w:val="20"/>
          <w:szCs w:val="20"/>
        </w:rPr>
        <w:br w:type="page"/>
      </w:r>
    </w:p>
    <w:p w14:paraId="44489EB7" w14:textId="6C933320" w:rsidR="00AD6BC6" w:rsidRDefault="00AD6BC6">
      <w:pPr>
        <w:widowControl/>
        <w:rPr>
          <w:szCs w:val="24"/>
        </w:rPr>
      </w:pPr>
      <w:r w:rsidRPr="00AD6BC6">
        <w:rPr>
          <w:rFonts w:hint="eastAsia"/>
          <w:szCs w:val="24"/>
        </w:rPr>
        <w:lastRenderedPageBreak/>
        <w:t>３、乙之</w:t>
      </w:r>
      <w:r>
        <w:rPr>
          <w:rFonts w:hint="eastAsia"/>
          <w:szCs w:val="24"/>
        </w:rPr>
        <w:t>行為是否有成立教唆犯之虞？</w:t>
      </w:r>
    </w:p>
    <w:p w14:paraId="661D4E1B" w14:textId="77777777" w:rsidR="00AD6BC6" w:rsidRPr="00AD6BC6" w:rsidRDefault="00AD6BC6">
      <w:pPr>
        <w:widowControl/>
        <w:rPr>
          <w:rFonts w:hint="eastAsia"/>
          <w:szCs w:val="24"/>
        </w:rPr>
      </w:pPr>
    </w:p>
    <w:p w14:paraId="6421794A" w14:textId="4BA8D497" w:rsidR="00AD6BC6" w:rsidRPr="00AD6BC6" w:rsidRDefault="00AD6BC6" w:rsidP="00AD6BC6">
      <w:pPr>
        <w:pStyle w:val="Web"/>
        <w:spacing w:before="0" w:beforeAutospacing="0" w:after="0" w:afterAutospacing="0"/>
        <w:rPr>
          <w:rFonts w:ascii="Arial" w:hAnsi="Arial" w:cs="Arial"/>
          <w:color w:val="000000"/>
        </w:rPr>
      </w:pPr>
      <w:r w:rsidRPr="00AD6BC6">
        <w:rPr>
          <w:rFonts w:ascii="Arial" w:hAnsi="Arial" w:cs="Arial"/>
          <w:color w:val="000000"/>
        </w:rPr>
        <w:t>所謂教唆犯，指幫助他人實行犯罪行為者，刑法</w:t>
      </w:r>
      <w:r w:rsidRPr="00AD6BC6">
        <w:rPr>
          <w:rFonts w:ascii="Arial" w:hAnsi="Arial" w:cs="Arial"/>
          <w:color w:val="000000"/>
        </w:rPr>
        <w:t>29</w:t>
      </w:r>
      <w:r w:rsidRPr="00AD6BC6">
        <w:rPr>
          <w:rFonts w:ascii="Arial" w:hAnsi="Arial" w:cs="Arial"/>
          <w:color w:val="000000"/>
        </w:rPr>
        <w:t>條定有明文，又教唆犯於實務</w:t>
      </w:r>
      <w:r w:rsidRPr="00AD6BC6">
        <w:rPr>
          <w:rFonts w:ascii="Arial" w:hAnsi="Arial" w:cs="Arial" w:hint="eastAsia"/>
          <w:color w:val="000000"/>
          <w:vertAlign w:val="superscript"/>
        </w:rPr>
        <w:t>１１</w:t>
      </w:r>
      <w:r w:rsidRPr="00AD6BC6">
        <w:rPr>
          <w:rFonts w:ascii="Arial" w:hAnsi="Arial" w:cs="Arial"/>
          <w:color w:val="000000"/>
        </w:rPr>
        <w:t>及學說</w:t>
      </w:r>
      <w:r w:rsidRPr="00AD6BC6">
        <w:rPr>
          <w:rFonts w:ascii="Arial" w:hAnsi="Arial" w:cs="Arial" w:hint="eastAsia"/>
          <w:color w:val="000000"/>
          <w:vertAlign w:val="superscript"/>
        </w:rPr>
        <w:t>１２</w:t>
      </w:r>
      <w:proofErr w:type="gramStart"/>
      <w:r w:rsidRPr="00AD6BC6">
        <w:rPr>
          <w:rFonts w:ascii="Arial" w:hAnsi="Arial" w:cs="Arial"/>
          <w:color w:val="000000"/>
        </w:rPr>
        <w:t>上皆肯認</w:t>
      </w:r>
      <w:proofErr w:type="gramEnd"/>
      <w:r w:rsidRPr="00AD6BC6">
        <w:rPr>
          <w:rFonts w:ascii="Arial" w:hAnsi="Arial" w:cs="Arial"/>
          <w:color w:val="000000"/>
        </w:rPr>
        <w:t>具有共犯從屬性，認為若無證正犯之犯罪行為存在，即失其附麗，故在此不討論前開有關聚眾鬥毆之教唆。</w:t>
      </w:r>
    </w:p>
    <w:p w14:paraId="08E433C6" w14:textId="77777777" w:rsidR="00AD6BC6" w:rsidRPr="00AD6BC6" w:rsidRDefault="00AD6BC6" w:rsidP="00AD6BC6">
      <w:pPr>
        <w:pStyle w:val="Web"/>
        <w:spacing w:before="0" w:beforeAutospacing="0" w:after="0" w:afterAutospacing="0"/>
        <w:rPr>
          <w:rFonts w:hint="eastAsia"/>
          <w:sz w:val="28"/>
          <w:szCs w:val="28"/>
        </w:rPr>
      </w:pPr>
    </w:p>
    <w:p w14:paraId="73370AE2" w14:textId="35A2E1D6" w:rsidR="00AD6BC6" w:rsidRPr="00AD6BC6" w:rsidRDefault="00AD6BC6" w:rsidP="00AD6BC6">
      <w:pPr>
        <w:pStyle w:val="Web"/>
        <w:spacing w:before="0" w:beforeAutospacing="0" w:after="0" w:afterAutospacing="0"/>
        <w:rPr>
          <w:rFonts w:ascii="Arial" w:hAnsi="Arial" w:cs="Arial"/>
          <w:color w:val="000000"/>
        </w:rPr>
      </w:pPr>
      <w:r w:rsidRPr="00AD6BC6">
        <w:rPr>
          <w:rFonts w:ascii="Arial" w:hAnsi="Arial" w:cs="Arial"/>
          <w:color w:val="000000"/>
        </w:rPr>
        <w:t>乙之行為不成立丙之傷害罪之教唆犯</w:t>
      </w:r>
    </w:p>
    <w:p w14:paraId="44BE9D58" w14:textId="77777777" w:rsidR="00AD6BC6" w:rsidRPr="00AD6BC6" w:rsidRDefault="00AD6BC6" w:rsidP="00AD6BC6">
      <w:pPr>
        <w:pStyle w:val="Web"/>
        <w:spacing w:before="0" w:beforeAutospacing="0" w:after="0" w:afterAutospacing="0"/>
        <w:rPr>
          <w:rFonts w:hint="eastAsia"/>
          <w:sz w:val="28"/>
          <w:szCs w:val="28"/>
        </w:rPr>
      </w:pPr>
    </w:p>
    <w:p w14:paraId="24E5DF44" w14:textId="21B2F019" w:rsidR="00AD6BC6" w:rsidRPr="00AD6BC6" w:rsidRDefault="00AD6BC6" w:rsidP="00AD6BC6">
      <w:pPr>
        <w:pStyle w:val="Web"/>
        <w:spacing w:before="0" w:beforeAutospacing="0" w:after="0" w:afterAutospacing="0"/>
        <w:rPr>
          <w:rFonts w:ascii="Arial" w:hAnsi="Arial" w:cs="Arial" w:hint="eastAsia"/>
          <w:color w:val="000000"/>
        </w:rPr>
      </w:pPr>
      <w:r w:rsidRPr="00AD6BC6">
        <w:rPr>
          <w:rStyle w:val="apple-tab-span"/>
          <w:rFonts w:ascii="Arial" w:hAnsi="Arial" w:cs="Arial"/>
          <w:color w:val="000000"/>
        </w:rPr>
        <w:tab/>
      </w:r>
      <w:r w:rsidRPr="00AD6BC6">
        <w:rPr>
          <w:rFonts w:ascii="Arial" w:hAnsi="Arial" w:cs="Arial"/>
          <w:color w:val="000000"/>
        </w:rPr>
        <w:t>構成要件該當性</w:t>
      </w:r>
    </w:p>
    <w:p w14:paraId="7DFCAA0B" w14:textId="77777777" w:rsidR="00AD6BC6" w:rsidRPr="00AD6BC6" w:rsidRDefault="00AD6BC6" w:rsidP="00AD6BC6">
      <w:pPr>
        <w:pStyle w:val="Web"/>
        <w:spacing w:before="0" w:beforeAutospacing="0" w:after="0" w:afterAutospacing="0"/>
        <w:rPr>
          <w:sz w:val="28"/>
          <w:szCs w:val="28"/>
        </w:rPr>
      </w:pPr>
      <w:r w:rsidRPr="00AD6BC6">
        <w:rPr>
          <w:rStyle w:val="apple-tab-span"/>
          <w:rFonts w:ascii="Arial" w:hAnsi="Arial" w:cs="Arial"/>
          <w:color w:val="000000"/>
        </w:rPr>
        <w:tab/>
      </w:r>
      <w:r w:rsidRPr="00AD6BC6">
        <w:rPr>
          <w:rFonts w:ascii="Arial" w:hAnsi="Arial" w:cs="Arial"/>
          <w:color w:val="000000"/>
        </w:rPr>
        <w:t>客觀構成要件</w:t>
      </w:r>
    </w:p>
    <w:p w14:paraId="61146486" w14:textId="41362610" w:rsidR="00AD6BC6" w:rsidRDefault="00AD6BC6" w:rsidP="00AD6BC6">
      <w:pPr>
        <w:pStyle w:val="Web"/>
        <w:spacing w:before="0" w:beforeAutospacing="0" w:after="0" w:afterAutospacing="0"/>
        <w:rPr>
          <w:rFonts w:ascii="Arial" w:hAnsi="Arial" w:cs="Arial"/>
          <w:color w:val="000000"/>
        </w:rPr>
      </w:pPr>
      <w:r w:rsidRPr="00AD6BC6">
        <w:rPr>
          <w:rFonts w:ascii="Arial" w:hAnsi="Arial" w:cs="Arial"/>
          <w:color w:val="000000"/>
        </w:rPr>
        <w:t>所謂教唆，乃指挑起或是確認他人之犯罪意思，進而使被教唆人為構成要件之實現之人，又</w:t>
      </w:r>
      <w:proofErr w:type="gramStart"/>
      <w:r w:rsidRPr="00AD6BC6">
        <w:rPr>
          <w:rFonts w:ascii="Arial" w:hAnsi="Arial" w:cs="Arial"/>
          <w:color w:val="000000"/>
        </w:rPr>
        <w:t>稱造意犯</w:t>
      </w:r>
      <w:proofErr w:type="gramEnd"/>
      <w:r w:rsidRPr="00AD6BC6">
        <w:rPr>
          <w:rFonts w:ascii="Arial" w:hAnsi="Arial" w:cs="Arial" w:hint="eastAsia"/>
          <w:color w:val="000000"/>
          <w:vertAlign w:val="superscript"/>
        </w:rPr>
        <w:t>１３</w:t>
      </w:r>
      <w:r w:rsidRPr="00AD6BC6">
        <w:rPr>
          <w:rFonts w:ascii="Arial" w:hAnsi="Arial" w:cs="Arial"/>
          <w:color w:val="000000"/>
        </w:rPr>
        <w:t>。</w:t>
      </w:r>
      <w:proofErr w:type="gramStart"/>
      <w:r w:rsidRPr="00AD6BC6">
        <w:rPr>
          <w:rFonts w:ascii="Arial" w:hAnsi="Arial" w:cs="Arial"/>
          <w:color w:val="000000"/>
        </w:rPr>
        <w:t>今乙指使</w:t>
      </w:r>
      <w:proofErr w:type="gramEnd"/>
      <w:r w:rsidRPr="00AD6BC6">
        <w:rPr>
          <w:rFonts w:ascii="Arial" w:hAnsi="Arial" w:cs="Arial"/>
          <w:color w:val="000000"/>
        </w:rPr>
        <w:t>丙</w:t>
      </w:r>
      <w:proofErr w:type="gramStart"/>
      <w:r w:rsidRPr="00AD6BC6">
        <w:rPr>
          <w:rFonts w:ascii="Arial" w:hAnsi="Arial" w:cs="Arial"/>
          <w:color w:val="000000"/>
        </w:rPr>
        <w:t>前往夜店為</w:t>
      </w:r>
      <w:proofErr w:type="gramEnd"/>
      <w:r w:rsidRPr="00AD6BC6">
        <w:rPr>
          <w:rFonts w:ascii="Arial" w:hAnsi="Arial" w:cs="Arial"/>
          <w:color w:val="000000"/>
        </w:rPr>
        <w:t>甲出氣，造成丙之犯意從無到有，兩者之間具因果關係</w:t>
      </w:r>
      <w:r w:rsidRPr="00AD6BC6">
        <w:rPr>
          <w:rFonts w:ascii="Arial" w:hAnsi="Arial" w:cs="Arial" w:hint="eastAsia"/>
          <w:color w:val="000000"/>
          <w:vertAlign w:val="superscript"/>
        </w:rPr>
        <w:t>１４</w:t>
      </w:r>
      <w:r w:rsidRPr="00AD6BC6">
        <w:rPr>
          <w:rFonts w:ascii="Arial" w:hAnsi="Arial" w:cs="Arial"/>
          <w:color w:val="000000"/>
        </w:rPr>
        <w:t>。</w:t>
      </w:r>
    </w:p>
    <w:p w14:paraId="04063EFC" w14:textId="77777777" w:rsidR="00AD6BC6" w:rsidRPr="00AD6BC6" w:rsidRDefault="00AD6BC6" w:rsidP="00AD6BC6">
      <w:pPr>
        <w:pStyle w:val="Web"/>
        <w:spacing w:before="0" w:beforeAutospacing="0" w:after="0" w:afterAutospacing="0"/>
        <w:rPr>
          <w:rFonts w:hint="eastAsia"/>
          <w:sz w:val="28"/>
          <w:szCs w:val="28"/>
        </w:rPr>
      </w:pPr>
    </w:p>
    <w:p w14:paraId="666164AF" w14:textId="77777777" w:rsidR="00AD6BC6" w:rsidRPr="00AD6BC6" w:rsidRDefault="00AD6BC6" w:rsidP="00AD6BC6">
      <w:pPr>
        <w:pStyle w:val="Web"/>
        <w:spacing w:before="0" w:beforeAutospacing="0" w:after="0" w:afterAutospacing="0"/>
        <w:rPr>
          <w:sz w:val="28"/>
          <w:szCs w:val="28"/>
        </w:rPr>
      </w:pPr>
      <w:r w:rsidRPr="00AD6BC6">
        <w:rPr>
          <w:rStyle w:val="apple-tab-span"/>
          <w:rFonts w:ascii="Arial" w:hAnsi="Arial" w:cs="Arial"/>
          <w:color w:val="000000"/>
        </w:rPr>
        <w:tab/>
      </w:r>
      <w:r w:rsidRPr="00AD6BC6">
        <w:rPr>
          <w:rFonts w:ascii="Arial" w:hAnsi="Arial" w:cs="Arial"/>
          <w:color w:val="000000"/>
        </w:rPr>
        <w:t>主觀構成要件</w:t>
      </w:r>
    </w:p>
    <w:p w14:paraId="41607F04" w14:textId="18B9D798" w:rsidR="00AD6BC6" w:rsidRDefault="00AD6BC6" w:rsidP="00AD6BC6">
      <w:pPr>
        <w:pStyle w:val="Web"/>
        <w:spacing w:before="0" w:beforeAutospacing="0" w:after="0" w:afterAutospacing="0"/>
        <w:rPr>
          <w:rFonts w:ascii="Arial" w:hAnsi="Arial" w:cs="Arial"/>
          <w:color w:val="000000"/>
        </w:rPr>
      </w:pPr>
      <w:r w:rsidRPr="00AD6BC6">
        <w:rPr>
          <w:rFonts w:ascii="Arial" w:hAnsi="Arial" w:cs="Arial"/>
          <w:color w:val="000000"/>
        </w:rPr>
        <w:t>教唆犯</w:t>
      </w:r>
      <w:proofErr w:type="gramStart"/>
      <w:r w:rsidRPr="00AD6BC6">
        <w:rPr>
          <w:rFonts w:ascii="Arial" w:hAnsi="Arial" w:cs="Arial"/>
          <w:color w:val="000000"/>
        </w:rPr>
        <w:t>於通說上</w:t>
      </w:r>
      <w:proofErr w:type="gramEnd"/>
      <w:r w:rsidRPr="00AD6BC6">
        <w:rPr>
          <w:rFonts w:ascii="Arial" w:hAnsi="Arial" w:cs="Arial"/>
          <w:color w:val="000000"/>
        </w:rPr>
        <w:t>，認為其主觀必須有雙重故意</w:t>
      </w:r>
      <w:r w:rsidRPr="00AD6BC6">
        <w:rPr>
          <w:rFonts w:ascii="Arial" w:hAnsi="Arial" w:cs="Arial" w:hint="eastAsia"/>
          <w:color w:val="000000"/>
          <w:vertAlign w:val="superscript"/>
        </w:rPr>
        <w:t>１</w:t>
      </w:r>
      <w:r>
        <w:rPr>
          <w:rFonts w:ascii="Arial" w:hAnsi="Arial" w:cs="Arial" w:hint="eastAsia"/>
          <w:color w:val="000000"/>
          <w:vertAlign w:val="superscript"/>
        </w:rPr>
        <w:t>５</w:t>
      </w:r>
      <w:r w:rsidRPr="00AD6BC6">
        <w:rPr>
          <w:rFonts w:ascii="Arial" w:hAnsi="Arial" w:cs="Arial"/>
          <w:color w:val="000000"/>
        </w:rPr>
        <w:t>，意即「教唆故意」及「教唆既遂故意」前者指行為人有對自身教唆行為及被教唆人犯意的產生或上升的知與欲；後者係指行為人對於被教唆人實現正犯之構成要件既遂之故意。本案中乙打電話叫</w:t>
      </w:r>
      <w:proofErr w:type="gramStart"/>
      <w:r w:rsidRPr="00AD6BC6">
        <w:rPr>
          <w:rFonts w:ascii="Arial" w:hAnsi="Arial" w:cs="Arial"/>
          <w:color w:val="000000"/>
        </w:rPr>
        <w:t>丙幫甲</w:t>
      </w:r>
      <w:proofErr w:type="gramEnd"/>
      <w:r w:rsidRPr="00AD6BC6">
        <w:rPr>
          <w:rFonts w:ascii="Arial" w:hAnsi="Arial" w:cs="Arial"/>
          <w:color w:val="000000"/>
        </w:rPr>
        <w:t>出氣，然依一般</w:t>
      </w:r>
      <w:proofErr w:type="gramStart"/>
      <w:r w:rsidRPr="00AD6BC6">
        <w:rPr>
          <w:rFonts w:ascii="Arial" w:hAnsi="Arial" w:cs="Arial"/>
          <w:color w:val="000000"/>
        </w:rPr>
        <w:t>社會通念</w:t>
      </w:r>
      <w:proofErr w:type="gramEnd"/>
      <w:r w:rsidRPr="00AD6BC6">
        <w:rPr>
          <w:rFonts w:ascii="Arial" w:hAnsi="Arial" w:cs="Arial"/>
          <w:color w:val="000000"/>
        </w:rPr>
        <w:t>，出氣之概念甚廣，凡情節輕微的</w:t>
      </w:r>
      <w:proofErr w:type="gramStart"/>
      <w:r w:rsidRPr="00AD6BC6">
        <w:rPr>
          <w:rFonts w:ascii="Arial" w:hAnsi="Arial" w:cs="Arial"/>
          <w:color w:val="000000"/>
        </w:rPr>
        <w:t>助勢到情節</w:t>
      </w:r>
      <w:proofErr w:type="gramEnd"/>
      <w:r w:rsidRPr="00AD6BC6">
        <w:rPr>
          <w:rFonts w:ascii="Arial" w:hAnsi="Arial" w:cs="Arial"/>
          <w:color w:val="000000"/>
        </w:rPr>
        <w:t>重大的殺人皆有可能，</w:t>
      </w:r>
      <w:proofErr w:type="gramStart"/>
      <w:r w:rsidRPr="00AD6BC6">
        <w:rPr>
          <w:rFonts w:ascii="Arial" w:hAnsi="Arial" w:cs="Arial"/>
          <w:color w:val="000000"/>
        </w:rPr>
        <w:t>惟今乙</w:t>
      </w:r>
      <w:proofErr w:type="gramEnd"/>
      <w:r w:rsidRPr="00AD6BC6">
        <w:rPr>
          <w:rFonts w:ascii="Arial" w:hAnsi="Arial" w:cs="Arial"/>
          <w:color w:val="000000"/>
        </w:rPr>
        <w:t>僅有提到「出氣」二字，實難謂有教唆丙傷害</w:t>
      </w:r>
      <w:r w:rsidRPr="00AD6BC6">
        <w:rPr>
          <w:rFonts w:ascii="Arial" w:hAnsi="Arial" w:cs="Arial"/>
          <w:color w:val="000000"/>
        </w:rPr>
        <w:t>A</w:t>
      </w:r>
      <w:r w:rsidRPr="00AD6BC6">
        <w:rPr>
          <w:rFonts w:ascii="Arial" w:hAnsi="Arial" w:cs="Arial"/>
          <w:color w:val="000000"/>
        </w:rPr>
        <w:t>、</w:t>
      </w:r>
      <w:r w:rsidRPr="00AD6BC6">
        <w:rPr>
          <w:rFonts w:ascii="Arial" w:hAnsi="Arial" w:cs="Arial"/>
          <w:color w:val="000000"/>
        </w:rPr>
        <w:t>B</w:t>
      </w:r>
      <w:r w:rsidRPr="00AD6BC6">
        <w:rPr>
          <w:rFonts w:ascii="Arial" w:hAnsi="Arial" w:cs="Arial"/>
          <w:color w:val="000000"/>
        </w:rPr>
        <w:t>之犯意，故</w:t>
      </w:r>
      <w:proofErr w:type="gramStart"/>
      <w:r w:rsidRPr="00AD6BC6">
        <w:rPr>
          <w:rFonts w:ascii="Arial" w:hAnsi="Arial" w:cs="Arial"/>
          <w:color w:val="000000"/>
        </w:rPr>
        <w:t>不</w:t>
      </w:r>
      <w:proofErr w:type="gramEnd"/>
      <w:r w:rsidRPr="00AD6BC6">
        <w:rPr>
          <w:rFonts w:ascii="Arial" w:hAnsi="Arial" w:cs="Arial"/>
          <w:color w:val="000000"/>
        </w:rPr>
        <w:t>該當教唆既遂故意之要件。</w:t>
      </w:r>
    </w:p>
    <w:p w14:paraId="7FEAAA29" w14:textId="77777777" w:rsidR="00AD6BC6" w:rsidRPr="00AD6BC6" w:rsidRDefault="00AD6BC6" w:rsidP="00AD6BC6">
      <w:pPr>
        <w:pStyle w:val="Web"/>
        <w:spacing w:before="0" w:beforeAutospacing="0" w:after="0" w:afterAutospacing="0"/>
        <w:rPr>
          <w:rFonts w:hint="eastAsia"/>
          <w:sz w:val="28"/>
          <w:szCs w:val="28"/>
        </w:rPr>
      </w:pPr>
    </w:p>
    <w:p w14:paraId="4D83399B" w14:textId="239B588F" w:rsidR="00AD6BC6" w:rsidRPr="00AD6BC6" w:rsidRDefault="00AD6BC6">
      <w:pPr>
        <w:widowControl/>
        <w:rPr>
          <w:rFonts w:hint="eastAsia"/>
          <w:sz w:val="28"/>
          <w:szCs w:val="28"/>
        </w:rPr>
      </w:pPr>
      <w:r>
        <w:rPr>
          <w:noProof/>
          <w:szCs w:val="24"/>
        </w:rPr>
        <w:drawing>
          <wp:inline distT="0" distB="0" distL="0" distR="0" wp14:anchorId="19A131EE" wp14:editId="5A5F4636">
            <wp:extent cx="5274310" cy="2286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2860"/>
                    </a:xfrm>
                    <a:prstGeom prst="rect">
                      <a:avLst/>
                    </a:prstGeom>
                    <a:noFill/>
                  </pic:spPr>
                </pic:pic>
              </a:graphicData>
            </a:graphic>
          </wp:inline>
        </w:drawing>
      </w:r>
    </w:p>
    <w:p w14:paraId="106E2912" w14:textId="231FA76F" w:rsidR="00AD6BC6" w:rsidRPr="00AD6BC6" w:rsidRDefault="00AD6BC6" w:rsidP="00AD6BC6">
      <w:pPr>
        <w:pStyle w:val="a3"/>
        <w:numPr>
          <w:ilvl w:val="0"/>
          <w:numId w:val="11"/>
        </w:numPr>
        <w:ind w:leftChars="0"/>
        <w:rPr>
          <w:sz w:val="20"/>
          <w:szCs w:val="18"/>
        </w:rPr>
      </w:pPr>
      <w:r w:rsidRPr="00AD6BC6">
        <w:rPr>
          <w:rFonts w:hint="eastAsia"/>
          <w:sz w:val="20"/>
          <w:szCs w:val="18"/>
        </w:rPr>
        <w:t>最高法院</w:t>
      </w:r>
      <w:proofErr w:type="gramStart"/>
      <w:r>
        <w:rPr>
          <w:rFonts w:hint="eastAsia"/>
          <w:sz w:val="20"/>
          <w:szCs w:val="18"/>
        </w:rPr>
        <w:t>６０</w:t>
      </w:r>
      <w:proofErr w:type="gramEnd"/>
      <w:r w:rsidRPr="00AD6BC6">
        <w:rPr>
          <w:rFonts w:hint="eastAsia"/>
          <w:sz w:val="20"/>
          <w:szCs w:val="18"/>
        </w:rPr>
        <w:t>年度台上字第</w:t>
      </w:r>
      <w:r>
        <w:rPr>
          <w:rFonts w:hint="eastAsia"/>
          <w:sz w:val="20"/>
          <w:szCs w:val="18"/>
        </w:rPr>
        <w:t>２１５９</w:t>
      </w:r>
      <w:r w:rsidRPr="00AD6BC6">
        <w:rPr>
          <w:rFonts w:hint="eastAsia"/>
          <w:sz w:val="20"/>
          <w:szCs w:val="18"/>
        </w:rPr>
        <w:t>號判例</w:t>
      </w:r>
    </w:p>
    <w:p w14:paraId="0A353F1D" w14:textId="471FFABB" w:rsidR="00AD6BC6" w:rsidRPr="00AD6BC6" w:rsidRDefault="00AD6BC6" w:rsidP="00AD6BC6">
      <w:pPr>
        <w:pStyle w:val="a3"/>
        <w:numPr>
          <w:ilvl w:val="0"/>
          <w:numId w:val="11"/>
        </w:numPr>
        <w:ind w:leftChars="0"/>
        <w:rPr>
          <w:rFonts w:hint="eastAsia"/>
          <w:sz w:val="20"/>
          <w:szCs w:val="18"/>
        </w:rPr>
      </w:pPr>
      <w:r w:rsidRPr="00AD6BC6">
        <w:rPr>
          <w:rFonts w:hint="eastAsia"/>
          <w:sz w:val="20"/>
          <w:szCs w:val="18"/>
        </w:rPr>
        <w:t>王黃玉</w:t>
      </w:r>
      <w:r>
        <w:rPr>
          <w:rFonts w:hint="eastAsia"/>
          <w:sz w:val="20"/>
          <w:szCs w:val="18"/>
        </w:rPr>
        <w:t>，刑法總則，頁４７７，２０２２年八月八版</w:t>
      </w:r>
    </w:p>
    <w:p w14:paraId="0AFFA4F5" w14:textId="2CD143B7" w:rsidR="00AD6BC6" w:rsidRPr="00AD6BC6" w:rsidRDefault="00AD6BC6" w:rsidP="00AD6BC6">
      <w:pPr>
        <w:pStyle w:val="a3"/>
        <w:numPr>
          <w:ilvl w:val="0"/>
          <w:numId w:val="11"/>
        </w:numPr>
        <w:ind w:leftChars="0"/>
        <w:rPr>
          <w:sz w:val="20"/>
          <w:szCs w:val="18"/>
        </w:rPr>
      </w:pPr>
      <w:r w:rsidRPr="00AD6BC6">
        <w:rPr>
          <w:rFonts w:hint="eastAsia"/>
          <w:sz w:val="20"/>
          <w:szCs w:val="18"/>
        </w:rPr>
        <w:t>柯耀城</w:t>
      </w:r>
      <w:r>
        <w:rPr>
          <w:rFonts w:hint="eastAsia"/>
          <w:sz w:val="20"/>
          <w:szCs w:val="18"/>
        </w:rPr>
        <w:t>，行</w:t>
      </w:r>
      <w:proofErr w:type="gramStart"/>
      <w:r>
        <w:rPr>
          <w:rFonts w:hint="eastAsia"/>
          <w:sz w:val="20"/>
          <w:szCs w:val="18"/>
        </w:rPr>
        <w:t>法釋論</w:t>
      </w:r>
      <w:proofErr w:type="gramEnd"/>
      <w:r>
        <w:rPr>
          <w:rFonts w:hint="eastAsia"/>
          <w:sz w:val="20"/>
          <w:szCs w:val="18"/>
        </w:rPr>
        <w:t>，頁６２１，２０１４年八月</w:t>
      </w:r>
    </w:p>
    <w:p w14:paraId="0ADA1A89" w14:textId="4547EA2A" w:rsidR="00AD6BC6" w:rsidRPr="00AD6BC6" w:rsidRDefault="00AD6BC6" w:rsidP="00AD6BC6">
      <w:pPr>
        <w:pStyle w:val="a3"/>
        <w:numPr>
          <w:ilvl w:val="0"/>
          <w:numId w:val="11"/>
        </w:numPr>
        <w:ind w:leftChars="0"/>
        <w:rPr>
          <w:sz w:val="20"/>
          <w:szCs w:val="18"/>
        </w:rPr>
      </w:pPr>
      <w:r w:rsidRPr="00AD6BC6">
        <w:rPr>
          <w:rFonts w:hint="eastAsia"/>
          <w:sz w:val="20"/>
          <w:szCs w:val="18"/>
        </w:rPr>
        <w:t>此處</w:t>
      </w:r>
      <w:r w:rsidRPr="00AD6BC6">
        <w:rPr>
          <w:rFonts w:hint="eastAsia"/>
          <w:sz w:val="20"/>
          <w:szCs w:val="18"/>
        </w:rPr>
        <w:t>可能會有因果關係拉太遠的問題，因為</w:t>
      </w:r>
      <w:proofErr w:type="gramStart"/>
      <w:r w:rsidRPr="00AD6BC6">
        <w:rPr>
          <w:rFonts w:hint="eastAsia"/>
          <w:sz w:val="20"/>
          <w:szCs w:val="18"/>
        </w:rPr>
        <w:t>題目說到丙</w:t>
      </w:r>
      <w:proofErr w:type="gramEnd"/>
      <w:r w:rsidRPr="00AD6BC6">
        <w:rPr>
          <w:rFonts w:hint="eastAsia"/>
          <w:sz w:val="20"/>
          <w:szCs w:val="18"/>
        </w:rPr>
        <w:t>是不知為何就打</w:t>
      </w:r>
      <w:proofErr w:type="gramStart"/>
      <w:r>
        <w:rPr>
          <w:rFonts w:hint="eastAsia"/>
          <w:sz w:val="20"/>
          <w:szCs w:val="18"/>
        </w:rPr>
        <w:t>Ａ</w:t>
      </w:r>
      <w:proofErr w:type="gramEnd"/>
      <w:r>
        <w:rPr>
          <w:rFonts w:hint="eastAsia"/>
          <w:sz w:val="20"/>
          <w:szCs w:val="18"/>
        </w:rPr>
        <w:t>、</w:t>
      </w:r>
      <w:proofErr w:type="gramStart"/>
      <w:r>
        <w:rPr>
          <w:rFonts w:hint="eastAsia"/>
          <w:sz w:val="20"/>
          <w:szCs w:val="18"/>
        </w:rPr>
        <w:t>Ｂ</w:t>
      </w:r>
      <w:proofErr w:type="gramEnd"/>
      <w:r w:rsidRPr="00AD6BC6">
        <w:rPr>
          <w:rFonts w:hint="eastAsia"/>
          <w:sz w:val="20"/>
          <w:szCs w:val="18"/>
        </w:rPr>
        <w:t>的，但本文認為乙教唆之行為是丙故意傷害的必要條件</w:t>
      </w:r>
      <w:r>
        <w:rPr>
          <w:rFonts w:hint="eastAsia"/>
          <w:sz w:val="20"/>
          <w:szCs w:val="18"/>
        </w:rPr>
        <w:t>。</w:t>
      </w:r>
    </w:p>
    <w:p w14:paraId="400BD62A" w14:textId="3C03CD1E" w:rsidR="00AD6BC6" w:rsidRPr="00AD6BC6" w:rsidRDefault="00AD6BC6" w:rsidP="00AD6BC6">
      <w:pPr>
        <w:pStyle w:val="a3"/>
        <w:numPr>
          <w:ilvl w:val="0"/>
          <w:numId w:val="11"/>
        </w:numPr>
        <w:ind w:leftChars="0"/>
        <w:rPr>
          <w:rFonts w:hint="eastAsia"/>
          <w:sz w:val="20"/>
          <w:szCs w:val="18"/>
        </w:rPr>
      </w:pPr>
      <w:r w:rsidRPr="00AD6BC6">
        <w:rPr>
          <w:rFonts w:hint="eastAsia"/>
          <w:sz w:val="20"/>
          <w:szCs w:val="18"/>
        </w:rPr>
        <w:t>王黃玉</w:t>
      </w:r>
      <w:r>
        <w:rPr>
          <w:rFonts w:hint="eastAsia"/>
          <w:sz w:val="20"/>
          <w:szCs w:val="18"/>
        </w:rPr>
        <w:t>，刑法總則，頁４</w:t>
      </w:r>
      <w:r>
        <w:rPr>
          <w:rFonts w:hint="eastAsia"/>
          <w:sz w:val="20"/>
          <w:szCs w:val="18"/>
        </w:rPr>
        <w:t>８８</w:t>
      </w:r>
      <w:r>
        <w:rPr>
          <w:rFonts w:hint="eastAsia"/>
          <w:sz w:val="20"/>
          <w:szCs w:val="18"/>
        </w:rPr>
        <w:t>，２０２２年八月八版</w:t>
      </w:r>
    </w:p>
    <w:p w14:paraId="53E56C5F" w14:textId="2123D935" w:rsidR="00AD6BC6" w:rsidRPr="00AD6BC6" w:rsidRDefault="00AD6BC6" w:rsidP="00AD6BC6">
      <w:pPr>
        <w:rPr>
          <w:rFonts w:hint="eastAsia"/>
        </w:rPr>
      </w:pPr>
    </w:p>
    <w:p w14:paraId="4CCE1B78" w14:textId="77777777" w:rsidR="00AD6BC6" w:rsidRDefault="00AD6BC6" w:rsidP="00CF105F"/>
    <w:p w14:paraId="28F2A27E" w14:textId="77777777" w:rsidR="00AD6BC6" w:rsidRDefault="00AD6BC6" w:rsidP="00CF105F"/>
    <w:p w14:paraId="50970492" w14:textId="77777777" w:rsidR="00AD6BC6" w:rsidRDefault="00AD6BC6" w:rsidP="00CF105F"/>
    <w:p w14:paraId="7B10EFA6" w14:textId="77777777" w:rsidR="00AD6BC6" w:rsidRDefault="00AD6BC6" w:rsidP="00CF105F">
      <w:pPr>
        <w:rPr>
          <w:rFonts w:hint="eastAsia"/>
        </w:rPr>
      </w:pPr>
    </w:p>
    <w:p w14:paraId="173D4C2A" w14:textId="2292F6C0" w:rsidR="00AD6BC6" w:rsidRDefault="00277DB0" w:rsidP="00CF105F">
      <w:pPr>
        <w:rPr>
          <w:rFonts w:hint="eastAsia"/>
        </w:rPr>
      </w:pPr>
      <w:r>
        <w:rPr>
          <w:rFonts w:hint="eastAsia"/>
        </w:rPr>
        <w:lastRenderedPageBreak/>
        <w:t>４、</w:t>
      </w:r>
      <w:r w:rsidR="00CF105F">
        <w:rPr>
          <w:rFonts w:hint="eastAsia"/>
        </w:rPr>
        <w:t>丙以不鏽鋼</w:t>
      </w:r>
      <w:proofErr w:type="gramStart"/>
      <w:r w:rsidR="00CF105F">
        <w:rPr>
          <w:rFonts w:hint="eastAsia"/>
        </w:rPr>
        <w:t>棍</w:t>
      </w:r>
      <w:proofErr w:type="gramEnd"/>
      <w:r w:rsidR="00CF105F">
        <w:rPr>
          <w:rFonts w:hint="eastAsia"/>
        </w:rPr>
        <w:t>攻擊</w:t>
      </w:r>
      <w:r w:rsidR="00CF105F">
        <w:rPr>
          <w:rFonts w:hint="eastAsia"/>
        </w:rPr>
        <w:t>AB</w:t>
      </w:r>
      <w:r w:rsidR="00CF105F">
        <w:rPr>
          <w:rFonts w:hint="eastAsia"/>
        </w:rPr>
        <w:t>之行為是否成立故意傷害？</w:t>
      </w:r>
    </w:p>
    <w:p w14:paraId="75B4F7F2" w14:textId="78A49327" w:rsidR="00CF105F" w:rsidRDefault="00CF105F" w:rsidP="00CF105F">
      <w:pPr>
        <w:ind w:left="960" w:firstLine="480"/>
      </w:pPr>
    </w:p>
    <w:p w14:paraId="5DE7D271" w14:textId="77777777" w:rsidR="00CF105F" w:rsidRDefault="00CF105F" w:rsidP="00CF105F">
      <w:r>
        <w:rPr>
          <w:rFonts w:hint="eastAsia"/>
        </w:rPr>
        <w:t>第</w:t>
      </w:r>
      <w:r>
        <w:rPr>
          <w:rFonts w:hint="eastAsia"/>
        </w:rPr>
        <w:t xml:space="preserve"> 277 </w:t>
      </w:r>
      <w:r>
        <w:rPr>
          <w:rFonts w:hint="eastAsia"/>
        </w:rPr>
        <w:t>條</w:t>
      </w:r>
    </w:p>
    <w:p w14:paraId="218133DC" w14:textId="77777777" w:rsidR="00CF105F" w:rsidRDefault="00CF105F" w:rsidP="00325F9D">
      <w:pPr>
        <w:pStyle w:val="a3"/>
        <w:numPr>
          <w:ilvl w:val="0"/>
          <w:numId w:val="6"/>
        </w:numPr>
        <w:ind w:leftChars="0"/>
      </w:pPr>
      <w:r>
        <w:rPr>
          <w:rFonts w:hint="eastAsia"/>
        </w:rPr>
        <w:t>傷害人之身體或健康者，處五年以下有期徒刑、拘役或五十萬元以下罰金。</w:t>
      </w:r>
    </w:p>
    <w:p w14:paraId="5CAE3122" w14:textId="1046D664" w:rsidR="00CF105F" w:rsidRDefault="00CF105F" w:rsidP="00325F9D">
      <w:pPr>
        <w:pStyle w:val="a3"/>
        <w:numPr>
          <w:ilvl w:val="0"/>
          <w:numId w:val="6"/>
        </w:numPr>
        <w:ind w:leftChars="0"/>
      </w:pPr>
      <w:r>
        <w:rPr>
          <w:rFonts w:hint="eastAsia"/>
        </w:rPr>
        <w:t>犯前項之罪，因而致人於死者，處無期徒刑或七年以上有期徒刑；致重傷者，處三年以上十年以下有期徒刑。</w:t>
      </w:r>
    </w:p>
    <w:p w14:paraId="089B8243" w14:textId="77777777" w:rsidR="00325F9D" w:rsidRDefault="00325F9D" w:rsidP="00325F9D">
      <w:pPr>
        <w:pStyle w:val="a3"/>
        <w:numPr>
          <w:ilvl w:val="0"/>
          <w:numId w:val="6"/>
        </w:numPr>
        <w:ind w:leftChars="0"/>
      </w:pPr>
    </w:p>
    <w:p w14:paraId="276989E6" w14:textId="24211BAC" w:rsidR="00325F9D" w:rsidRDefault="00CF105F" w:rsidP="00CF105F">
      <w:r>
        <w:rPr>
          <w:rFonts w:hint="eastAsia"/>
        </w:rPr>
        <w:t>客觀構成要件：</w:t>
      </w:r>
      <w:r>
        <w:t xml:space="preserve"> </w:t>
      </w:r>
      <w:r w:rsidR="00325F9D">
        <w:rPr>
          <w:rFonts w:hint="eastAsia"/>
        </w:rPr>
        <w:t>行為客體必須是他人，即對自己的</w:t>
      </w:r>
      <w:r w:rsidR="004A0469">
        <w:rPr>
          <w:rFonts w:hint="eastAsia"/>
        </w:rPr>
        <w:t>傷</w:t>
      </w:r>
      <w:r w:rsidR="00325F9D">
        <w:rPr>
          <w:rFonts w:hint="eastAsia"/>
        </w:rPr>
        <w:t>害行為無傷害罪的適用。傷害罪是結果犯，其中以傷害健康及傷害身體為擇</w:t>
      </w:r>
      <w:proofErr w:type="gramStart"/>
      <w:r w:rsidR="00325F9D">
        <w:rPr>
          <w:rFonts w:hint="eastAsia"/>
        </w:rPr>
        <w:t>一</w:t>
      </w:r>
      <w:proofErr w:type="gramEnd"/>
      <w:r w:rsidR="00325F9D">
        <w:rPr>
          <w:rFonts w:hint="eastAsia"/>
        </w:rPr>
        <w:t>結果。故只要該當</w:t>
      </w:r>
      <w:proofErr w:type="gramStart"/>
      <w:r w:rsidR="00325F9D">
        <w:rPr>
          <w:rFonts w:hint="eastAsia"/>
        </w:rPr>
        <w:t>其一，</w:t>
      </w:r>
      <w:proofErr w:type="gramEnd"/>
      <w:r w:rsidR="00325F9D">
        <w:rPr>
          <w:rFonts w:hint="eastAsia"/>
        </w:rPr>
        <w:t>即有傷害的成立。傷害身體指對於身體完整性的實體侵害</w:t>
      </w:r>
      <w:r w:rsidR="00325F9D" w:rsidRPr="00325F9D">
        <w:rPr>
          <w:rFonts w:hint="eastAsia"/>
          <w:vertAlign w:val="superscript"/>
        </w:rPr>
        <w:t>１</w:t>
      </w:r>
      <w:r w:rsidR="00325F9D">
        <w:rPr>
          <w:rFonts w:hint="eastAsia"/>
        </w:rPr>
        <w:t>，傷害健康指引發身體偏離正常功能或使狀態變得更加嚴重。</w:t>
      </w:r>
    </w:p>
    <w:p w14:paraId="3E5EE9B5" w14:textId="77777777" w:rsidR="00325F9D" w:rsidRPr="00325F9D" w:rsidRDefault="00325F9D" w:rsidP="00CF105F"/>
    <w:p w14:paraId="4B3E151E" w14:textId="11FDC693" w:rsidR="00CF105F" w:rsidRDefault="00CF105F" w:rsidP="00CF105F">
      <w:r>
        <w:rPr>
          <w:rFonts w:hint="eastAsia"/>
        </w:rPr>
        <w:t>主觀構成要件：</w:t>
      </w:r>
      <w:r w:rsidR="00325F9D">
        <w:rPr>
          <w:rFonts w:hint="eastAsia"/>
        </w:rPr>
        <w:t>只需要未必故意即有本罪之適用，且傷害故意與殺人故意並不相互排斥。</w:t>
      </w:r>
    </w:p>
    <w:p w14:paraId="66B4A7AA" w14:textId="3B9111DB" w:rsidR="00325F9D" w:rsidRDefault="00325F9D" w:rsidP="00CF105F"/>
    <w:p w14:paraId="2B72EEDE" w14:textId="7F1FA3FB" w:rsidR="00277DB0" w:rsidRDefault="00325F9D" w:rsidP="00CF105F">
      <w:proofErr w:type="gramStart"/>
      <w:r>
        <w:rPr>
          <w:rFonts w:hint="eastAsia"/>
        </w:rPr>
        <w:t>故於</w:t>
      </w:r>
      <w:r w:rsidR="00277DB0">
        <w:rPr>
          <w:rFonts w:hint="eastAsia"/>
        </w:rPr>
        <w:t>題文中</w:t>
      </w:r>
      <w:proofErr w:type="gramEnd"/>
      <w:r w:rsidR="00277DB0">
        <w:rPr>
          <w:rFonts w:hint="eastAsia"/>
        </w:rPr>
        <w:t>可見，丙以不鏽鋼</w:t>
      </w:r>
      <w:proofErr w:type="gramStart"/>
      <w:r w:rsidR="00277DB0">
        <w:rPr>
          <w:rFonts w:hint="eastAsia"/>
        </w:rPr>
        <w:t>棍</w:t>
      </w:r>
      <w:proofErr w:type="gramEnd"/>
      <w:r w:rsidR="00277DB0">
        <w:rPr>
          <w:rFonts w:hint="eastAsia"/>
        </w:rPr>
        <w:t>攻擊</w:t>
      </w:r>
      <w:r w:rsidR="00277DB0">
        <w:rPr>
          <w:rFonts w:hint="eastAsia"/>
        </w:rPr>
        <w:t>AB</w:t>
      </w:r>
      <w:r w:rsidR="00277DB0">
        <w:rPr>
          <w:rFonts w:hint="eastAsia"/>
        </w:rPr>
        <w:t>之行為雖不知何因，但具備主觀上故意且同時造成</w:t>
      </w:r>
      <w:proofErr w:type="gramStart"/>
      <w:r w:rsidR="00277DB0">
        <w:rPr>
          <w:rFonts w:hint="eastAsia"/>
        </w:rPr>
        <w:t>Ａ</w:t>
      </w:r>
      <w:proofErr w:type="gramEnd"/>
      <w:r w:rsidR="00277DB0">
        <w:rPr>
          <w:rFonts w:hint="eastAsia"/>
        </w:rPr>
        <w:t>、</w:t>
      </w:r>
      <w:proofErr w:type="gramStart"/>
      <w:r w:rsidR="00277DB0">
        <w:rPr>
          <w:rFonts w:hint="eastAsia"/>
        </w:rPr>
        <w:t>Ｂ</w:t>
      </w:r>
      <w:proofErr w:type="gramEnd"/>
      <w:r w:rsidR="00277DB0">
        <w:rPr>
          <w:rFonts w:hint="eastAsia"/>
        </w:rPr>
        <w:t>受傷之結果發生。</w:t>
      </w:r>
    </w:p>
    <w:p w14:paraId="7A897219" w14:textId="0394D0EC" w:rsidR="00277DB0" w:rsidRDefault="00277DB0" w:rsidP="00CF105F">
      <w:proofErr w:type="gramStart"/>
      <w:r>
        <w:rPr>
          <w:rFonts w:hint="eastAsia"/>
        </w:rPr>
        <w:t>丙並無</w:t>
      </w:r>
      <w:proofErr w:type="gramEnd"/>
      <w:r>
        <w:rPr>
          <w:rFonts w:hint="eastAsia"/>
        </w:rPr>
        <w:t>得</w:t>
      </w:r>
      <w:proofErr w:type="gramStart"/>
      <w:r>
        <w:rPr>
          <w:rFonts w:hint="eastAsia"/>
        </w:rPr>
        <w:t>承諾等阻卻</w:t>
      </w:r>
      <w:proofErr w:type="gramEnd"/>
      <w:r>
        <w:rPr>
          <w:rFonts w:hint="eastAsia"/>
        </w:rPr>
        <w:t>違法之事由。</w:t>
      </w:r>
    </w:p>
    <w:p w14:paraId="5655D595" w14:textId="45BCEF63" w:rsidR="00277DB0" w:rsidRDefault="00277DB0" w:rsidP="00CF105F">
      <w:proofErr w:type="gramStart"/>
      <w:r>
        <w:rPr>
          <w:rFonts w:hint="eastAsia"/>
        </w:rPr>
        <w:t>丙並無</w:t>
      </w:r>
      <w:proofErr w:type="gramEnd"/>
      <w:r>
        <w:rPr>
          <w:rFonts w:hint="eastAsia"/>
        </w:rPr>
        <w:t>阻卻罪責之事由。</w:t>
      </w:r>
    </w:p>
    <w:p w14:paraId="3C41B9BF" w14:textId="4F7FEA35" w:rsidR="00277DB0" w:rsidRDefault="00277DB0" w:rsidP="00CF105F">
      <w:proofErr w:type="gramStart"/>
      <w:r>
        <w:rPr>
          <w:rFonts w:hint="eastAsia"/>
        </w:rPr>
        <w:t>故丙之</w:t>
      </w:r>
      <w:proofErr w:type="gramEnd"/>
      <w:r>
        <w:rPr>
          <w:rFonts w:hint="eastAsia"/>
        </w:rPr>
        <w:t>行為成立刑法第２７７條，故意傷害罪。</w:t>
      </w:r>
    </w:p>
    <w:p w14:paraId="7AC215F7" w14:textId="134F9026" w:rsidR="00277DB0" w:rsidRDefault="00277DB0" w:rsidP="00CF105F">
      <w:r>
        <w:rPr>
          <w:noProof/>
          <w:szCs w:val="24"/>
        </w:rPr>
        <w:drawing>
          <wp:inline distT="0" distB="0" distL="0" distR="0" wp14:anchorId="4B944268" wp14:editId="3829D57F">
            <wp:extent cx="5274310" cy="23403"/>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3403"/>
                    </a:xfrm>
                    <a:prstGeom prst="rect">
                      <a:avLst/>
                    </a:prstGeom>
                    <a:noFill/>
                  </pic:spPr>
                </pic:pic>
              </a:graphicData>
            </a:graphic>
          </wp:inline>
        </w:drawing>
      </w:r>
    </w:p>
    <w:p w14:paraId="6E59B1C2" w14:textId="4D4712FD" w:rsidR="00277DB0" w:rsidRPr="00325F9D" w:rsidRDefault="00277DB0" w:rsidP="00277DB0">
      <w:pPr>
        <w:pStyle w:val="a3"/>
        <w:numPr>
          <w:ilvl w:val="0"/>
          <w:numId w:val="7"/>
        </w:numPr>
        <w:ind w:leftChars="0"/>
      </w:pPr>
      <w:r w:rsidRPr="00277DB0">
        <w:rPr>
          <w:rFonts w:hint="eastAsia"/>
          <w:sz w:val="20"/>
          <w:szCs w:val="20"/>
        </w:rPr>
        <w:t>許則天，刑法分則下冊五版，頁</w:t>
      </w:r>
      <w:r>
        <w:rPr>
          <w:rFonts w:hint="eastAsia"/>
          <w:sz w:val="20"/>
          <w:szCs w:val="20"/>
        </w:rPr>
        <w:t>１３０</w:t>
      </w:r>
      <w:r w:rsidRPr="00277DB0">
        <w:rPr>
          <w:rFonts w:hint="eastAsia"/>
          <w:sz w:val="20"/>
          <w:szCs w:val="20"/>
        </w:rPr>
        <w:t>，２０２３年</w:t>
      </w:r>
      <w:proofErr w:type="gramStart"/>
      <w:r w:rsidRPr="00277DB0">
        <w:rPr>
          <w:rFonts w:hint="eastAsia"/>
          <w:sz w:val="20"/>
          <w:szCs w:val="20"/>
        </w:rPr>
        <w:t>１０</w:t>
      </w:r>
      <w:proofErr w:type="gramEnd"/>
      <w:r w:rsidRPr="00277DB0">
        <w:rPr>
          <w:rFonts w:hint="eastAsia"/>
          <w:sz w:val="20"/>
          <w:szCs w:val="20"/>
        </w:rPr>
        <w:t>月</w:t>
      </w:r>
    </w:p>
    <w:sectPr w:rsidR="00277DB0" w:rsidRPr="00325F9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752C" w14:textId="77777777" w:rsidR="00D07B52" w:rsidRDefault="00D07B52" w:rsidP="00B13DEF">
      <w:r>
        <w:separator/>
      </w:r>
    </w:p>
  </w:endnote>
  <w:endnote w:type="continuationSeparator" w:id="0">
    <w:p w14:paraId="44EC1208" w14:textId="77777777" w:rsidR="00D07B52" w:rsidRDefault="00D07B52" w:rsidP="00B1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8CF73" w14:textId="77777777" w:rsidR="00D07B52" w:rsidRDefault="00D07B52" w:rsidP="00B13DEF">
      <w:r>
        <w:separator/>
      </w:r>
    </w:p>
  </w:footnote>
  <w:footnote w:type="continuationSeparator" w:id="0">
    <w:p w14:paraId="0E663C48" w14:textId="77777777" w:rsidR="00D07B52" w:rsidRDefault="00D07B52" w:rsidP="00B13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CA0"/>
    <w:multiLevelType w:val="hybridMultilevel"/>
    <w:tmpl w:val="96A01E7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B26FEB"/>
    <w:multiLevelType w:val="hybridMultilevel"/>
    <w:tmpl w:val="C12EB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35690F"/>
    <w:multiLevelType w:val="hybridMultilevel"/>
    <w:tmpl w:val="EF6A708C"/>
    <w:lvl w:ilvl="0" w:tplc="59D256E2">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E03956"/>
    <w:multiLevelType w:val="hybridMultilevel"/>
    <w:tmpl w:val="C74E6F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4430E1"/>
    <w:multiLevelType w:val="hybridMultilevel"/>
    <w:tmpl w:val="DD8CC510"/>
    <w:lvl w:ilvl="0" w:tplc="32822C84">
      <w:start w:val="1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172368"/>
    <w:multiLevelType w:val="hybridMultilevel"/>
    <w:tmpl w:val="13BEC3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5B590C"/>
    <w:multiLevelType w:val="hybridMultilevel"/>
    <w:tmpl w:val="F34AF1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C724876"/>
    <w:multiLevelType w:val="hybridMultilevel"/>
    <w:tmpl w:val="29562216"/>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055933"/>
    <w:multiLevelType w:val="hybridMultilevel"/>
    <w:tmpl w:val="75DA9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F126F2"/>
    <w:multiLevelType w:val="hybridMultilevel"/>
    <w:tmpl w:val="DB607D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8056D6"/>
    <w:multiLevelType w:val="hybridMultilevel"/>
    <w:tmpl w:val="3DE26FA8"/>
    <w:lvl w:ilvl="0" w:tplc="469E977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8E62D6"/>
    <w:multiLevelType w:val="hybridMultilevel"/>
    <w:tmpl w:val="05FAAD14"/>
    <w:lvl w:ilvl="0" w:tplc="59D256E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A77224E"/>
    <w:multiLevelType w:val="hybridMultilevel"/>
    <w:tmpl w:val="97087E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D9245ED"/>
    <w:multiLevelType w:val="hybridMultilevel"/>
    <w:tmpl w:val="8FC4D7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1173DEF"/>
    <w:multiLevelType w:val="hybridMultilevel"/>
    <w:tmpl w:val="97C00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610372"/>
    <w:multiLevelType w:val="hybridMultilevel"/>
    <w:tmpl w:val="D228DE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5"/>
  </w:num>
  <w:num w:numId="3">
    <w:abstractNumId w:val="12"/>
  </w:num>
  <w:num w:numId="4">
    <w:abstractNumId w:val="9"/>
  </w:num>
  <w:num w:numId="5">
    <w:abstractNumId w:val="1"/>
  </w:num>
  <w:num w:numId="6">
    <w:abstractNumId w:val="3"/>
  </w:num>
  <w:num w:numId="7">
    <w:abstractNumId w:val="14"/>
  </w:num>
  <w:num w:numId="8">
    <w:abstractNumId w:val="15"/>
  </w:num>
  <w:num w:numId="9">
    <w:abstractNumId w:val="13"/>
  </w:num>
  <w:num w:numId="10">
    <w:abstractNumId w:val="8"/>
  </w:num>
  <w:num w:numId="11">
    <w:abstractNumId w:val="2"/>
  </w:num>
  <w:num w:numId="12">
    <w:abstractNumId w:val="7"/>
  </w:num>
  <w:num w:numId="13">
    <w:abstractNumId w:val="0"/>
  </w:num>
  <w:num w:numId="14">
    <w:abstractNumId w:val="10"/>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70"/>
    <w:rsid w:val="00001565"/>
    <w:rsid w:val="00277DB0"/>
    <w:rsid w:val="00325F9D"/>
    <w:rsid w:val="003C1B94"/>
    <w:rsid w:val="004A0469"/>
    <w:rsid w:val="007E2083"/>
    <w:rsid w:val="0085203E"/>
    <w:rsid w:val="008600D1"/>
    <w:rsid w:val="008912E2"/>
    <w:rsid w:val="009D74E7"/>
    <w:rsid w:val="00A02A44"/>
    <w:rsid w:val="00AD6BC6"/>
    <w:rsid w:val="00B13DEF"/>
    <w:rsid w:val="00B87C70"/>
    <w:rsid w:val="00BA7754"/>
    <w:rsid w:val="00C16A42"/>
    <w:rsid w:val="00CF105F"/>
    <w:rsid w:val="00D07B52"/>
    <w:rsid w:val="00DA4371"/>
    <w:rsid w:val="00F869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AF642"/>
  <w15:chartTrackingRefBased/>
  <w15:docId w15:val="{390E925F-23E2-473F-8911-D8E4893A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A4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05F"/>
    <w:pPr>
      <w:ind w:leftChars="200" w:left="480"/>
    </w:pPr>
  </w:style>
  <w:style w:type="paragraph" w:styleId="a4">
    <w:name w:val="header"/>
    <w:basedOn w:val="a"/>
    <w:link w:val="a5"/>
    <w:uiPriority w:val="99"/>
    <w:unhideWhenUsed/>
    <w:rsid w:val="00B13DEF"/>
    <w:pPr>
      <w:tabs>
        <w:tab w:val="center" w:pos="4153"/>
        <w:tab w:val="right" w:pos="8306"/>
      </w:tabs>
      <w:snapToGrid w:val="0"/>
    </w:pPr>
    <w:rPr>
      <w:sz w:val="20"/>
      <w:szCs w:val="20"/>
    </w:rPr>
  </w:style>
  <w:style w:type="character" w:customStyle="1" w:styleId="a5">
    <w:name w:val="頁首 字元"/>
    <w:basedOn w:val="a0"/>
    <w:link w:val="a4"/>
    <w:uiPriority w:val="99"/>
    <w:rsid w:val="00B13DEF"/>
    <w:rPr>
      <w:sz w:val="20"/>
      <w:szCs w:val="20"/>
    </w:rPr>
  </w:style>
  <w:style w:type="paragraph" w:styleId="a6">
    <w:name w:val="footer"/>
    <w:basedOn w:val="a"/>
    <w:link w:val="a7"/>
    <w:uiPriority w:val="99"/>
    <w:unhideWhenUsed/>
    <w:rsid w:val="00B13DEF"/>
    <w:pPr>
      <w:tabs>
        <w:tab w:val="center" w:pos="4153"/>
        <w:tab w:val="right" w:pos="8306"/>
      </w:tabs>
      <w:snapToGrid w:val="0"/>
    </w:pPr>
    <w:rPr>
      <w:sz w:val="20"/>
      <w:szCs w:val="20"/>
    </w:rPr>
  </w:style>
  <w:style w:type="character" w:customStyle="1" w:styleId="a7">
    <w:name w:val="頁尾 字元"/>
    <w:basedOn w:val="a0"/>
    <w:link w:val="a6"/>
    <w:uiPriority w:val="99"/>
    <w:rsid w:val="00B13DEF"/>
    <w:rPr>
      <w:sz w:val="20"/>
      <w:szCs w:val="20"/>
    </w:rPr>
  </w:style>
  <w:style w:type="paragraph" w:styleId="Web">
    <w:name w:val="Normal (Web)"/>
    <w:basedOn w:val="a"/>
    <w:uiPriority w:val="99"/>
    <w:semiHidden/>
    <w:unhideWhenUsed/>
    <w:rsid w:val="00C16A42"/>
    <w:pPr>
      <w:widowControl/>
      <w:spacing w:before="100" w:beforeAutospacing="1" w:after="100" w:afterAutospacing="1"/>
    </w:pPr>
    <w:rPr>
      <w:rFonts w:ascii="新細明體" w:eastAsia="新細明體" w:hAnsi="新細明體" w:cs="新細明體"/>
      <w:kern w:val="0"/>
      <w:szCs w:val="24"/>
    </w:rPr>
  </w:style>
  <w:style w:type="character" w:customStyle="1" w:styleId="apple-tab-span">
    <w:name w:val="apple-tab-span"/>
    <w:basedOn w:val="a0"/>
    <w:rsid w:val="00C16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22898">
      <w:bodyDiv w:val="1"/>
      <w:marLeft w:val="0"/>
      <w:marRight w:val="0"/>
      <w:marTop w:val="0"/>
      <w:marBottom w:val="0"/>
      <w:divBdr>
        <w:top w:val="none" w:sz="0" w:space="0" w:color="auto"/>
        <w:left w:val="none" w:sz="0" w:space="0" w:color="auto"/>
        <w:bottom w:val="none" w:sz="0" w:space="0" w:color="auto"/>
        <w:right w:val="none" w:sz="0" w:space="0" w:color="auto"/>
      </w:divBdr>
    </w:div>
    <w:div w:id="1486899529">
      <w:bodyDiv w:val="1"/>
      <w:marLeft w:val="0"/>
      <w:marRight w:val="0"/>
      <w:marTop w:val="0"/>
      <w:marBottom w:val="0"/>
      <w:divBdr>
        <w:top w:val="none" w:sz="0" w:space="0" w:color="auto"/>
        <w:left w:val="none" w:sz="0" w:space="0" w:color="auto"/>
        <w:bottom w:val="none" w:sz="0" w:space="0" w:color="auto"/>
        <w:right w:val="none" w:sz="0" w:space="0" w:color="auto"/>
      </w:divBdr>
    </w:div>
    <w:div w:id="1669602170">
      <w:bodyDiv w:val="1"/>
      <w:marLeft w:val="0"/>
      <w:marRight w:val="0"/>
      <w:marTop w:val="0"/>
      <w:marBottom w:val="0"/>
      <w:divBdr>
        <w:top w:val="none" w:sz="0" w:space="0" w:color="auto"/>
        <w:left w:val="none" w:sz="0" w:space="0" w:color="auto"/>
        <w:bottom w:val="none" w:sz="0" w:space="0" w:color="auto"/>
        <w:right w:val="none" w:sz="0" w:space="0" w:color="auto"/>
      </w:divBdr>
    </w:div>
    <w:div w:id="194938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11T15:44:42.021"/>
    </inkml:context>
    <inkml:brush xml:id="br0">
      <inkml:brushProperty name="width" value="0.025" units="cm"/>
      <inkml:brushProperty name="height" value="0.025" units="cm"/>
      <inkml:brushProperty name="ignorePressure" value="1"/>
    </inkml:brush>
  </inkml:definitions>
  <inkml:trace contextRef="#ctx0" brushRef="#br0">0 1</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6CF77-AD7F-4732-AF73-A23218938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建驊 劉</dc:creator>
  <cp:keywords/>
  <dc:description/>
  <cp:lastModifiedBy>建驊 劉</cp:lastModifiedBy>
  <cp:revision>6</cp:revision>
  <dcterms:created xsi:type="dcterms:W3CDTF">2024-05-11T12:52:00Z</dcterms:created>
  <dcterms:modified xsi:type="dcterms:W3CDTF">2024-05-12T03:23:00Z</dcterms:modified>
</cp:coreProperties>
</file>