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80508" w14:textId="77777777" w:rsidR="00D73BFF" w:rsidRPr="00B555F4" w:rsidRDefault="00D73BFF" w:rsidP="00D73BFF">
      <w:pPr>
        <w:pStyle w:val="Web"/>
        <w:spacing w:after="0" w:afterAutospacing="0"/>
        <w:jc w:val="center"/>
        <w:rPr>
          <w:rFonts w:ascii="Times New Roman" w:eastAsia="楷體-簡" w:hAnsi="Times New Roman" w:cs="Times New Roman"/>
          <w:sz w:val="32"/>
          <w:szCs w:val="32"/>
        </w:rPr>
      </w:pPr>
      <w:r w:rsidRPr="00B555F4">
        <w:rPr>
          <w:rFonts w:ascii="Times New Roman" w:eastAsia="楷體-簡" w:hAnsi="Times New Roman" w:cs="Times New Roman"/>
          <w:sz w:val="32"/>
          <w:szCs w:val="32"/>
        </w:rPr>
        <w:t>刑事實例第</w:t>
      </w:r>
      <w:r w:rsidRPr="00B555F4">
        <w:rPr>
          <w:rFonts w:ascii="Times New Roman" w:eastAsia="楷體-簡" w:hAnsi="Times New Roman" w:cs="Times New Roman"/>
          <w:sz w:val="32"/>
          <w:szCs w:val="32"/>
        </w:rPr>
        <w:t xml:space="preserve"> 15</w:t>
      </w:r>
      <w:r w:rsidRPr="00B555F4">
        <w:rPr>
          <w:rFonts w:ascii="Times New Roman" w:eastAsia="楷體-簡" w:hAnsi="Times New Roman" w:cs="Times New Roman"/>
        </w:rPr>
        <w:t xml:space="preserve"> </w:t>
      </w:r>
      <w:r w:rsidRPr="00B555F4">
        <w:rPr>
          <w:rFonts w:ascii="Times New Roman" w:eastAsia="楷體-簡" w:hAnsi="Times New Roman" w:cs="Times New Roman"/>
          <w:sz w:val="32"/>
          <w:szCs w:val="32"/>
        </w:rPr>
        <w:t>題報告</w:t>
      </w:r>
    </w:p>
    <w:p w14:paraId="6875E17D" w14:textId="77777777" w:rsidR="00D73BFF" w:rsidRPr="00B555F4" w:rsidRDefault="00D73BFF" w:rsidP="00D73BFF">
      <w:pPr>
        <w:pStyle w:val="Web"/>
        <w:spacing w:before="0" w:beforeAutospacing="0" w:after="0" w:afterAutospacing="0"/>
        <w:rPr>
          <w:rFonts w:ascii="Times New Roman" w:eastAsia="楷體-簡" w:hAnsi="Times New Roman" w:cs="Times New Roman"/>
        </w:rPr>
      </w:pPr>
      <w:r w:rsidRPr="00B555F4">
        <w:rPr>
          <w:rFonts w:ascii="Times New Roman" w:eastAsia="楷體-簡" w:hAnsi="Times New Roman" w:cs="Times New Roman"/>
        </w:rPr>
        <w:t>報告人：法學二</w:t>
      </w:r>
      <w:r w:rsidRPr="00B555F4">
        <w:rPr>
          <w:rFonts w:ascii="Times New Roman" w:eastAsia="楷體-簡" w:hAnsi="Times New Roman" w:cs="Times New Roman"/>
        </w:rPr>
        <w:t xml:space="preserve"> / 411610004 / </w:t>
      </w:r>
      <w:r w:rsidRPr="00B555F4">
        <w:rPr>
          <w:rFonts w:ascii="Times New Roman" w:eastAsia="楷體-簡" w:hAnsi="Times New Roman" w:cs="Times New Roman"/>
        </w:rPr>
        <w:t>施奇瑋</w:t>
      </w:r>
    </w:p>
    <w:p w14:paraId="0D587398" w14:textId="6470162D" w:rsidR="00D73BFF" w:rsidRPr="00B555F4" w:rsidRDefault="00D73BFF" w:rsidP="00B555F4">
      <w:pPr>
        <w:pStyle w:val="Web"/>
        <w:spacing w:before="0" w:beforeAutospacing="0" w:after="0" w:afterAutospacing="0"/>
        <w:rPr>
          <w:rFonts w:ascii="Times New Roman" w:eastAsia="楷體-簡" w:hAnsi="Times New Roman" w:cs="Times New Roman"/>
        </w:rPr>
      </w:pPr>
      <w:r w:rsidRPr="00B555F4">
        <w:rPr>
          <w:rFonts w:ascii="Times New Roman" w:eastAsia="楷體-簡" w:hAnsi="Times New Roman" w:cs="Times New Roman"/>
        </w:rPr>
        <w:t>評論人：財法二</w:t>
      </w:r>
      <w:r w:rsidR="00303D02">
        <w:rPr>
          <w:rFonts w:ascii="Times New Roman" w:eastAsia="楷體-簡" w:hAnsi="Times New Roman" w:cs="Times New Roman" w:hint="eastAsia"/>
        </w:rPr>
        <w:t xml:space="preserve"> </w:t>
      </w:r>
      <w:r w:rsidR="00B555F4" w:rsidRPr="00B555F4">
        <w:rPr>
          <w:rFonts w:ascii="Times New Roman" w:eastAsia="楷體-簡" w:hAnsi="Times New Roman" w:cs="Times New Roman"/>
        </w:rPr>
        <w:t>/ 4116</w:t>
      </w:r>
      <w:r w:rsidR="00B555F4">
        <w:rPr>
          <w:rFonts w:ascii="Times New Roman" w:eastAsia="楷體-簡" w:hAnsi="Times New Roman" w:cs="Times New Roman"/>
        </w:rPr>
        <w:t>3</w:t>
      </w:r>
      <w:r w:rsidR="00B555F4" w:rsidRPr="00B555F4">
        <w:rPr>
          <w:rFonts w:ascii="Times New Roman" w:eastAsia="楷體-簡" w:hAnsi="Times New Roman" w:cs="Times New Roman"/>
        </w:rPr>
        <w:t>00</w:t>
      </w:r>
      <w:r w:rsidR="0087230E">
        <w:rPr>
          <w:rFonts w:ascii="Times New Roman" w:eastAsia="楷體-簡" w:hAnsi="Times New Roman" w:cs="Times New Roman"/>
        </w:rPr>
        <w:t>24</w:t>
      </w:r>
      <w:r w:rsidR="00B555F4" w:rsidRPr="00B555F4">
        <w:rPr>
          <w:rFonts w:ascii="Times New Roman" w:eastAsia="楷體-簡" w:hAnsi="Times New Roman" w:cs="Times New Roman" w:hint="eastAsia"/>
        </w:rPr>
        <w:t xml:space="preserve"> </w:t>
      </w:r>
      <w:r w:rsidR="00B555F4" w:rsidRPr="00B555F4">
        <w:rPr>
          <w:rFonts w:ascii="Times New Roman" w:eastAsia="楷體-簡" w:hAnsi="Times New Roman" w:cs="Times New Roman"/>
        </w:rPr>
        <w:t xml:space="preserve">/ </w:t>
      </w:r>
      <w:r w:rsidR="0087230E">
        <w:rPr>
          <w:rFonts w:ascii="Apple Color Emoji" w:eastAsia="楷體-簡" w:hAnsi="Apple Color Emoji" w:cs="Apple Color Emoji" w:hint="eastAsia"/>
        </w:rPr>
        <w:t>顏宇呈</w:t>
      </w:r>
    </w:p>
    <w:p w14:paraId="15575960" w14:textId="77777777" w:rsidR="00D73BFF" w:rsidRPr="00B555F4" w:rsidRDefault="00D73BFF" w:rsidP="00D73BFF">
      <w:pPr>
        <w:pStyle w:val="Web"/>
        <w:rPr>
          <w:rFonts w:ascii="Times New Roman" w:eastAsia="楷體-簡" w:hAnsi="Times New Roman" w:cs="Times New Roman"/>
        </w:rPr>
      </w:pPr>
      <w:r w:rsidRPr="00B555F4">
        <w:rPr>
          <w:rFonts w:ascii="Times New Roman" w:eastAsia="楷體-簡" w:hAnsi="Times New Roman" w:cs="Times New Roman"/>
        </w:rPr>
        <w:t>甲懷疑室友乙時常偷喝甲存放在共用冰箱中的牛奶，但苦無證據，便將洗廁所用的</w:t>
      </w:r>
      <w:r w:rsidRPr="0087230E">
        <w:rPr>
          <w:rFonts w:ascii="Times New Roman" w:eastAsia="楷體-簡" w:hAnsi="Times New Roman" w:cs="Times New Roman"/>
          <w:b/>
          <w:bCs/>
        </w:rPr>
        <w:t>鹽酸倒入一瓶新買的牛奶中，再放回冰箱，試圖阻止乙偷喝的行為</w:t>
      </w:r>
      <w:r w:rsidRPr="00B555F4">
        <w:rPr>
          <w:rFonts w:ascii="Times New Roman" w:eastAsia="楷體-簡" w:hAnsi="Times New Roman" w:cs="Times New Roman"/>
        </w:rPr>
        <w:t>。當日</w:t>
      </w:r>
      <w:r w:rsidRPr="00B555F4">
        <w:rPr>
          <w:rFonts w:ascii="Times New Roman" w:eastAsia="楷體-簡" w:hAnsi="Times New Roman" w:cs="Times New Roman"/>
        </w:rPr>
        <w:t xml:space="preserve"> </w:t>
      </w:r>
      <w:r w:rsidRPr="00B555F4">
        <w:rPr>
          <w:rFonts w:ascii="Times New Roman" w:eastAsia="楷體-簡" w:hAnsi="Times New Roman" w:cs="Times New Roman"/>
        </w:rPr>
        <w:t>甲有事外出，乙的朋友丙來訪，丙未經同意就打開冰箱飲用甲的牛奶，結果灼傷口腔和食道。請問甲之刑事責任如何</w:t>
      </w:r>
      <w:r w:rsidRPr="00B555F4">
        <w:rPr>
          <w:rFonts w:ascii="Times New Roman" w:eastAsia="楷體-簡" w:hAnsi="Times New Roman" w:cs="Times New Roman"/>
        </w:rPr>
        <w:t xml:space="preserve">? </w:t>
      </w:r>
    </w:p>
    <w:p w14:paraId="530C7278" w14:textId="77777777" w:rsidR="00D73BFF" w:rsidRPr="00B555F4" w:rsidRDefault="00D73BFF" w:rsidP="00D73BFF">
      <w:pPr>
        <w:pStyle w:val="Web"/>
        <w:spacing w:after="0" w:afterAutospacing="0"/>
        <w:rPr>
          <w:rFonts w:ascii="Times New Roman" w:eastAsia="楷體-簡" w:hAnsi="Times New Roman" w:cs="Times New Roman"/>
        </w:rPr>
      </w:pPr>
      <w:r w:rsidRPr="00B555F4">
        <w:rPr>
          <w:rFonts w:ascii="Times New Roman" w:eastAsia="楷體-簡" w:hAnsi="Times New Roman" w:cs="Times New Roman"/>
        </w:rPr>
        <w:t>【爭點】</w:t>
      </w:r>
    </w:p>
    <w:p w14:paraId="3DF4F27A" w14:textId="4621C746" w:rsidR="001F74D0" w:rsidRPr="001F74D0" w:rsidRDefault="00B555F4" w:rsidP="001F74D0">
      <w:pPr>
        <w:pStyle w:val="Web"/>
        <w:numPr>
          <w:ilvl w:val="0"/>
          <w:numId w:val="1"/>
        </w:numPr>
        <w:spacing w:before="0" w:beforeAutospacing="0" w:after="0" w:afterAutospacing="0"/>
        <w:rPr>
          <w:rFonts w:ascii="Times New Roman" w:eastAsia="楷體-簡" w:hAnsi="Times New Roman" w:cs="Times New Roman" w:hint="eastAsia"/>
        </w:rPr>
      </w:pPr>
      <w:r w:rsidRPr="00B555F4">
        <w:rPr>
          <w:rFonts w:ascii="Times New Roman" w:eastAsia="楷體-簡" w:hAnsi="Times New Roman" w:cs="Times New Roman"/>
        </w:rPr>
        <w:t>甲欲傷害乙，惟實害結果發生於丙之行為就屬何種錯誤？如何處理？</w:t>
      </w:r>
    </w:p>
    <w:p w14:paraId="7C1D9426" w14:textId="77777777" w:rsidR="00D73BFF" w:rsidRPr="00B555F4" w:rsidRDefault="00D73BFF" w:rsidP="00D73BFF">
      <w:pPr>
        <w:pStyle w:val="Web"/>
        <w:rPr>
          <w:rFonts w:ascii="Times New Roman" w:eastAsia="楷體-簡" w:hAnsi="Times New Roman" w:cs="Times New Roman"/>
        </w:rPr>
      </w:pPr>
      <w:r w:rsidRPr="00B555F4">
        <w:rPr>
          <w:rFonts w:ascii="Times New Roman" w:eastAsia="楷體-簡" w:hAnsi="Times New Roman" w:cs="Times New Roman"/>
        </w:rPr>
        <w:t>【擬答】</w:t>
      </w:r>
    </w:p>
    <w:p w14:paraId="15C967A0" w14:textId="2EB4A120" w:rsidR="00B555F4" w:rsidRPr="00B555F4" w:rsidRDefault="00B555F4" w:rsidP="00B555F4">
      <w:pPr>
        <w:pStyle w:val="Web"/>
        <w:spacing w:before="0" w:beforeAutospacing="0" w:after="0" w:afterAutospacing="0"/>
        <w:rPr>
          <w:rFonts w:ascii="Times New Roman" w:eastAsia="楷體-簡" w:hAnsi="Times New Roman" w:cs="Times New Roman"/>
        </w:rPr>
      </w:pPr>
      <w:r w:rsidRPr="00B555F4">
        <w:rPr>
          <w:rFonts w:ascii="Times New Roman" w:eastAsia="楷體-簡" w:hAnsi="Times New Roman" w:cs="Times New Roman"/>
        </w:rPr>
        <w:t>一、甲欲</w:t>
      </w:r>
      <w:r w:rsidR="0087230E">
        <w:rPr>
          <w:rFonts w:ascii="Times New Roman" w:eastAsia="楷體-簡" w:hAnsi="Times New Roman" w:cs="Times New Roman" w:hint="eastAsia"/>
        </w:rPr>
        <w:t>間接利用鹽酸</w:t>
      </w:r>
      <w:r w:rsidRPr="00B555F4">
        <w:rPr>
          <w:rFonts w:ascii="Times New Roman" w:eastAsia="楷體-簡" w:hAnsi="Times New Roman" w:cs="Times New Roman"/>
        </w:rPr>
        <w:t>傷害乙，惟實害結果發生於丙之行為屬何種錯誤，甲既非誤認行為客體之同一性，又丙喝到鹽酸非甲手段方法的偏差，於此種情形如何處理，學說上容有爭議，以下就此詳論：</w:t>
      </w:r>
    </w:p>
    <w:p w14:paraId="387D545B" w14:textId="77777777" w:rsidR="001F74D0" w:rsidRDefault="00B555F4" w:rsidP="001F74D0">
      <w:pPr>
        <w:pStyle w:val="Web"/>
        <w:spacing w:before="0" w:beforeAutospacing="0" w:after="0" w:afterAutospacing="0"/>
        <w:ind w:leftChars="118" w:left="283"/>
        <w:rPr>
          <w:rFonts w:ascii="Times New Roman" w:eastAsia="楷體-簡" w:hAnsi="Times New Roman" w:cs="Times New Roman"/>
        </w:rPr>
      </w:pPr>
      <w:r w:rsidRPr="00B555F4">
        <w:rPr>
          <w:rFonts w:ascii="Times New Roman" w:eastAsia="楷體-簡" w:hAnsi="Times New Roman" w:cs="Times New Roman"/>
        </w:rPr>
        <w:t>（一）客體錯誤：</w:t>
      </w:r>
    </w:p>
    <w:p w14:paraId="0DD32350" w14:textId="788F9CBF" w:rsidR="00B555F4" w:rsidRPr="00B555F4" w:rsidRDefault="00B555F4" w:rsidP="001F74D0">
      <w:pPr>
        <w:pStyle w:val="Web"/>
        <w:spacing w:before="0" w:beforeAutospacing="0" w:after="0" w:afterAutospacing="0"/>
        <w:ind w:leftChars="177" w:left="425" w:firstLineChars="177" w:firstLine="425"/>
        <w:rPr>
          <w:rFonts w:ascii="Times New Roman" w:eastAsia="楷體-簡" w:hAnsi="Times New Roman" w:cs="Times New Roman"/>
        </w:rPr>
      </w:pPr>
      <w:r w:rsidRPr="00B555F4">
        <w:rPr>
          <w:rFonts w:ascii="Times New Roman" w:eastAsia="楷體-簡" w:hAnsi="Times New Roman" w:cs="Times New Roman"/>
        </w:rPr>
        <w:t>只要是實際上被攻擊的對象符合行為人對於因果鏈的設計，就不應論以打擊錯誤，而所謂因果鏈的設計，是從實際上的裝置作用予以判斷</w:t>
      </w:r>
      <w:r w:rsidRPr="00B555F4">
        <w:rPr>
          <w:rStyle w:val="aa"/>
          <w:rFonts w:ascii="Times New Roman" w:eastAsia="楷體-簡" w:hAnsi="Times New Roman" w:cs="Times New Roman"/>
        </w:rPr>
        <w:footnoteReference w:id="1"/>
      </w:r>
      <w:r w:rsidRPr="00B555F4">
        <w:rPr>
          <w:rFonts w:ascii="Times New Roman" w:eastAsia="楷體-簡" w:hAnsi="Times New Roman" w:cs="Times New Roman"/>
        </w:rPr>
        <w:t>；另一說法，計畫實現理論，同樣認為</w:t>
      </w:r>
      <w:r w:rsidR="0087230E">
        <w:rPr>
          <w:rFonts w:ascii="Times New Roman" w:eastAsia="楷體-簡" w:hAnsi="Times New Roman" w:cs="Times New Roman" w:hint="eastAsia"/>
        </w:rPr>
        <w:t>此</w:t>
      </w:r>
      <w:r w:rsidRPr="00B555F4">
        <w:rPr>
          <w:rFonts w:ascii="Times New Roman" w:eastAsia="楷體-簡" w:hAnsi="Times New Roman" w:cs="Times New Roman"/>
        </w:rPr>
        <w:t>為一個不具有重要性的客體錯誤</w:t>
      </w:r>
      <w:r w:rsidRPr="00B555F4">
        <w:rPr>
          <w:rStyle w:val="aa"/>
          <w:rFonts w:ascii="Times New Roman" w:eastAsia="楷體-簡" w:hAnsi="Times New Roman" w:cs="Times New Roman"/>
        </w:rPr>
        <w:footnoteReference w:id="2"/>
      </w:r>
      <w:r w:rsidRPr="00B555F4">
        <w:rPr>
          <w:rFonts w:ascii="Times New Roman" w:eastAsia="楷體-簡" w:hAnsi="Times New Roman" w:cs="Times New Roman"/>
        </w:rPr>
        <w:t>。此說為德國聯邦最高法院</w:t>
      </w:r>
      <w:r w:rsidRPr="00B555F4">
        <w:rPr>
          <w:rStyle w:val="aa"/>
          <w:rFonts w:ascii="Times New Roman" w:eastAsia="楷體-簡" w:hAnsi="Times New Roman" w:cs="Times New Roman"/>
        </w:rPr>
        <w:footnoteReference w:id="3"/>
      </w:r>
      <w:r w:rsidRPr="00B555F4">
        <w:rPr>
          <w:rFonts w:ascii="Times New Roman" w:eastAsia="楷體-簡" w:hAnsi="Times New Roman" w:cs="Times New Roman"/>
        </w:rPr>
        <w:t>所採，其理由為行為人透過裝置「間接」地具體化行為客體，和行為人直接透過感官的方式確定行為客體並無不同</w:t>
      </w:r>
      <w:r w:rsidRPr="00B555F4">
        <w:rPr>
          <w:rStyle w:val="aa"/>
          <w:rFonts w:ascii="Times New Roman" w:eastAsia="楷體-簡" w:hAnsi="Times New Roman" w:cs="Times New Roman"/>
        </w:rPr>
        <w:footnoteReference w:id="4"/>
      </w:r>
      <w:r w:rsidRPr="00B555F4">
        <w:rPr>
          <w:rFonts w:ascii="Times New Roman" w:eastAsia="楷體-簡" w:hAnsi="Times New Roman" w:cs="Times New Roman"/>
        </w:rPr>
        <w:t>。</w:t>
      </w:r>
    </w:p>
    <w:p w14:paraId="2D47EF9F" w14:textId="77777777" w:rsidR="001F74D0" w:rsidRDefault="001F74D0" w:rsidP="001F74D0">
      <w:pPr>
        <w:pStyle w:val="Web"/>
        <w:spacing w:before="0" w:beforeAutospacing="0" w:after="0" w:afterAutospacing="0"/>
        <w:ind w:leftChars="118" w:left="283"/>
        <w:rPr>
          <w:rFonts w:ascii="Times New Roman" w:eastAsia="楷體-簡" w:hAnsi="Times New Roman" w:cs="Times New Roman"/>
        </w:rPr>
      </w:pPr>
      <w:r w:rsidRPr="00B555F4">
        <w:rPr>
          <w:rFonts w:ascii="Times New Roman" w:eastAsia="楷體-簡" w:hAnsi="Times New Roman" w:cs="Times New Roman"/>
        </w:rPr>
        <w:t>（</w:t>
      </w:r>
      <w:r>
        <w:rPr>
          <w:rFonts w:ascii="Times New Roman" w:eastAsia="楷體-簡" w:hAnsi="Times New Roman" w:cs="Times New Roman" w:hint="eastAsia"/>
        </w:rPr>
        <w:t>二</w:t>
      </w:r>
      <w:r w:rsidRPr="00B555F4">
        <w:rPr>
          <w:rFonts w:ascii="Times New Roman" w:eastAsia="楷體-簡" w:hAnsi="Times New Roman" w:cs="Times New Roman"/>
        </w:rPr>
        <w:t>）</w:t>
      </w:r>
      <w:r w:rsidR="00B555F4" w:rsidRPr="00B555F4">
        <w:rPr>
          <w:rFonts w:ascii="Times New Roman" w:eastAsia="楷體-簡" w:hAnsi="Times New Roman" w:cs="Times New Roman"/>
        </w:rPr>
        <w:t>打擊錯誤：</w:t>
      </w:r>
    </w:p>
    <w:p w14:paraId="77FE5C98" w14:textId="5D9B6393" w:rsidR="00B555F4" w:rsidRPr="00B555F4" w:rsidRDefault="00B555F4" w:rsidP="001F74D0">
      <w:pPr>
        <w:pStyle w:val="Web"/>
        <w:spacing w:before="0" w:beforeAutospacing="0" w:after="0" w:afterAutospacing="0"/>
        <w:ind w:leftChars="177" w:left="425" w:firstLineChars="177" w:firstLine="425"/>
        <w:rPr>
          <w:rFonts w:ascii="Times New Roman" w:eastAsia="楷體-簡" w:hAnsi="Times New Roman" w:cs="Times New Roman"/>
        </w:rPr>
      </w:pPr>
      <w:r w:rsidRPr="00B555F4">
        <w:rPr>
          <w:rFonts w:ascii="Times New Roman" w:eastAsia="楷體-簡" w:hAnsi="Times New Roman" w:cs="Times New Roman"/>
        </w:rPr>
        <w:t>在因果流程的問題上，知的對象是現實上的風險，在傳統打擊錯誤的案例中（即行為人與攻擊目標正面接觸），行為人就真正實現構成要件的風險並未認識，在行為人未與攻擊目標正面接觸的案例，同樣並未認識到後來會是另一人受害，故應同樣以打擊錯誤處理</w:t>
      </w:r>
      <w:r w:rsidRPr="00B555F4">
        <w:rPr>
          <w:rStyle w:val="aa"/>
          <w:rFonts w:ascii="Times New Roman" w:eastAsia="楷體-簡" w:hAnsi="Times New Roman" w:cs="Times New Roman"/>
        </w:rPr>
        <w:footnoteReference w:id="5"/>
      </w:r>
      <w:r w:rsidRPr="00B555F4">
        <w:rPr>
          <w:rFonts w:ascii="Times New Roman" w:eastAsia="楷體-簡" w:hAnsi="Times New Roman" w:cs="Times New Roman"/>
        </w:rPr>
        <w:t>。</w:t>
      </w:r>
    </w:p>
    <w:p w14:paraId="0FD80A5C" w14:textId="77777777" w:rsidR="001F74D0" w:rsidRDefault="001F74D0" w:rsidP="001F74D0">
      <w:pPr>
        <w:pStyle w:val="Web"/>
        <w:spacing w:before="0" w:beforeAutospacing="0" w:after="0" w:afterAutospacing="0"/>
        <w:ind w:leftChars="118" w:left="283"/>
        <w:rPr>
          <w:rFonts w:ascii="Times New Roman" w:eastAsia="楷體-簡" w:hAnsi="Times New Roman" w:cs="Times New Roman"/>
        </w:rPr>
      </w:pPr>
      <w:r w:rsidRPr="00B555F4">
        <w:rPr>
          <w:rFonts w:ascii="Times New Roman" w:eastAsia="楷體-簡" w:hAnsi="Times New Roman" w:cs="Times New Roman"/>
        </w:rPr>
        <w:t>（</w:t>
      </w:r>
      <w:r>
        <w:rPr>
          <w:rFonts w:ascii="Times New Roman" w:eastAsia="楷體-簡" w:hAnsi="Times New Roman" w:cs="Times New Roman" w:hint="eastAsia"/>
        </w:rPr>
        <w:t>三</w:t>
      </w:r>
      <w:r w:rsidRPr="00B555F4">
        <w:rPr>
          <w:rFonts w:ascii="Times New Roman" w:eastAsia="楷體-簡" w:hAnsi="Times New Roman" w:cs="Times New Roman"/>
        </w:rPr>
        <w:t>）</w:t>
      </w:r>
      <w:r w:rsidR="00B555F4" w:rsidRPr="00B555F4">
        <w:rPr>
          <w:rFonts w:ascii="Times New Roman" w:eastAsia="楷體-簡" w:hAnsi="Times New Roman" w:cs="Times New Roman"/>
        </w:rPr>
        <w:t>不區分說：</w:t>
      </w:r>
    </w:p>
    <w:p w14:paraId="2838B462" w14:textId="09D6C88A" w:rsidR="00B555F4" w:rsidRPr="00B555F4" w:rsidRDefault="00B555F4" w:rsidP="001F74D0">
      <w:pPr>
        <w:pStyle w:val="Web"/>
        <w:spacing w:before="0" w:beforeAutospacing="0" w:after="0" w:afterAutospacing="0"/>
        <w:ind w:leftChars="177" w:left="425" w:firstLineChars="177" w:firstLine="425"/>
        <w:rPr>
          <w:rFonts w:ascii="Times New Roman" w:eastAsia="楷體-簡" w:hAnsi="Times New Roman" w:cs="Times New Roman"/>
        </w:rPr>
      </w:pPr>
      <w:r w:rsidRPr="00B555F4">
        <w:rPr>
          <w:rFonts w:ascii="Times New Roman" w:eastAsia="楷體-簡" w:hAnsi="Times New Roman" w:cs="Times New Roman"/>
        </w:rPr>
        <w:t>構成要件對於行為客體以種類作為規定內容，那麼對於故意當然也只要求對於此一種類有所認識即可</w:t>
      </w:r>
      <w:r w:rsidRPr="00B555F4">
        <w:rPr>
          <w:rStyle w:val="aa"/>
          <w:rFonts w:ascii="Times New Roman" w:eastAsia="楷體-簡" w:hAnsi="Times New Roman" w:cs="Times New Roman"/>
        </w:rPr>
        <w:footnoteReference w:id="6"/>
      </w:r>
      <w:r w:rsidRPr="00B555F4">
        <w:rPr>
          <w:rFonts w:ascii="Times New Roman" w:eastAsia="楷體-簡" w:hAnsi="Times New Roman" w:cs="Times New Roman"/>
        </w:rPr>
        <w:t>，在行為人未與攻擊目標正面接觸的案例</w:t>
      </w:r>
      <w:r w:rsidRPr="00B555F4">
        <w:rPr>
          <w:rFonts w:ascii="Times New Roman" w:eastAsia="楷體-簡" w:hAnsi="Times New Roman" w:cs="Times New Roman"/>
        </w:rPr>
        <w:lastRenderedPageBreak/>
        <w:t>中，行為人的故意除了對於特定人有所認識，也及於「人」這個一般性的要素，故實害客體與行為人的主觀認識可相</w:t>
      </w:r>
      <w:r w:rsidR="0087230E">
        <w:rPr>
          <w:rFonts w:ascii="Times New Roman" w:eastAsia="楷體-簡" w:hAnsi="Times New Roman" w:cs="Times New Roman" w:hint="eastAsia"/>
        </w:rPr>
        <w:t>互</w:t>
      </w:r>
      <w:r w:rsidRPr="00B555F4">
        <w:rPr>
          <w:rFonts w:ascii="Times New Roman" w:eastAsia="楷體-簡" w:hAnsi="Times New Roman" w:cs="Times New Roman"/>
        </w:rPr>
        <w:t>對應而不阻卻故意。</w:t>
      </w:r>
    </w:p>
    <w:p w14:paraId="332E95A8" w14:textId="77777777" w:rsidR="001F74D0" w:rsidRDefault="001F74D0" w:rsidP="001F74D0">
      <w:pPr>
        <w:pStyle w:val="Web"/>
        <w:spacing w:before="0" w:beforeAutospacing="0" w:after="0" w:afterAutospacing="0"/>
        <w:ind w:leftChars="118" w:left="283"/>
        <w:rPr>
          <w:rFonts w:ascii="Times New Roman" w:eastAsia="楷體-簡" w:hAnsi="Times New Roman" w:cs="Times New Roman"/>
        </w:rPr>
      </w:pPr>
      <w:r w:rsidRPr="00B555F4">
        <w:rPr>
          <w:rFonts w:ascii="Times New Roman" w:eastAsia="楷體-簡" w:hAnsi="Times New Roman" w:cs="Times New Roman"/>
        </w:rPr>
        <w:t>（</w:t>
      </w:r>
      <w:r>
        <w:rPr>
          <w:rFonts w:ascii="Times New Roman" w:eastAsia="楷體-簡" w:hAnsi="Times New Roman" w:cs="Times New Roman" w:hint="eastAsia"/>
        </w:rPr>
        <w:t>四</w:t>
      </w:r>
      <w:r w:rsidRPr="00B555F4">
        <w:rPr>
          <w:rFonts w:ascii="Times New Roman" w:eastAsia="楷體-簡" w:hAnsi="Times New Roman" w:cs="Times New Roman"/>
        </w:rPr>
        <w:t>）</w:t>
      </w:r>
      <w:r w:rsidR="00B555F4" w:rsidRPr="00B555F4">
        <w:rPr>
          <w:rFonts w:ascii="Times New Roman" w:eastAsia="楷體-簡" w:hAnsi="Times New Roman" w:cs="Times New Roman"/>
        </w:rPr>
        <w:t>雙重具體化錯誤</w:t>
      </w:r>
      <w:r w:rsidR="00B555F4">
        <w:rPr>
          <w:rFonts w:ascii="Times New Roman" w:eastAsia="楷體-簡" w:hAnsi="Times New Roman" w:cs="Times New Roman" w:hint="eastAsia"/>
        </w:rPr>
        <w:t>說</w:t>
      </w:r>
      <w:r w:rsidR="00B555F4" w:rsidRPr="00B555F4">
        <w:rPr>
          <w:rStyle w:val="aa"/>
          <w:rFonts w:ascii="Times New Roman" w:eastAsia="楷體-簡" w:hAnsi="Times New Roman" w:cs="Times New Roman"/>
        </w:rPr>
        <w:footnoteReference w:id="7"/>
      </w:r>
      <w:r w:rsidR="00B555F4" w:rsidRPr="00B555F4">
        <w:rPr>
          <w:rFonts w:ascii="Times New Roman" w:eastAsia="楷體-簡" w:hAnsi="Times New Roman" w:cs="Times New Roman"/>
        </w:rPr>
        <w:t>：</w:t>
      </w:r>
    </w:p>
    <w:p w14:paraId="6CD25630" w14:textId="6314E1FD" w:rsidR="00B555F4" w:rsidRDefault="00B555F4" w:rsidP="001F74D0">
      <w:pPr>
        <w:pStyle w:val="Web"/>
        <w:spacing w:before="0" w:beforeAutospacing="0" w:after="0" w:afterAutospacing="0"/>
        <w:ind w:leftChars="177" w:left="425" w:firstLineChars="177" w:firstLine="425"/>
        <w:rPr>
          <w:rFonts w:ascii="Times New Roman" w:eastAsia="楷體-簡" w:hAnsi="Times New Roman" w:cs="Times New Roman"/>
        </w:rPr>
      </w:pPr>
      <w:r w:rsidRPr="00B555F4">
        <w:rPr>
          <w:rFonts w:ascii="Times New Roman" w:eastAsia="楷體-簡" w:hAnsi="Times New Roman" w:cs="Times New Roman"/>
        </w:rPr>
        <w:t>不</w:t>
      </w:r>
      <w:r w:rsidR="001F74D0">
        <w:rPr>
          <w:rFonts w:ascii="Times New Roman" w:eastAsia="楷體-簡" w:hAnsi="Times New Roman" w:cs="Times New Roman" w:hint="eastAsia"/>
        </w:rPr>
        <w:t>採</w:t>
      </w:r>
      <w:r w:rsidRPr="00B555F4">
        <w:rPr>
          <w:rFonts w:ascii="Times New Roman" w:eastAsia="楷體-簡" w:hAnsi="Times New Roman" w:cs="Times New Roman"/>
        </w:rPr>
        <w:t>以往通說心理學式故意概念</w:t>
      </w:r>
      <w:r w:rsidRPr="00B555F4">
        <w:rPr>
          <w:rStyle w:val="aa"/>
          <w:rFonts w:ascii="Times New Roman" w:eastAsia="楷體-簡" w:hAnsi="Times New Roman" w:cs="Times New Roman"/>
        </w:rPr>
        <w:footnoteReference w:id="8"/>
      </w:r>
      <w:r w:rsidRPr="00B555F4">
        <w:rPr>
          <w:rFonts w:ascii="Times New Roman" w:eastAsia="楷體-簡" w:hAnsi="Times New Roman" w:cs="Times New Roman"/>
        </w:rPr>
        <w:t>，</w:t>
      </w:r>
      <w:r w:rsidR="0087230E">
        <w:rPr>
          <w:rFonts w:ascii="Times New Roman" w:eastAsia="楷體-簡" w:hAnsi="Times New Roman" w:cs="Times New Roman" w:hint="eastAsia"/>
        </w:rPr>
        <w:t>其欲建立規範性之故意理論，先點出</w:t>
      </w:r>
      <w:r w:rsidRPr="00B555F4">
        <w:rPr>
          <w:rFonts w:ascii="Times New Roman" w:eastAsia="楷體-簡" w:hAnsi="Times New Roman" w:cs="Times New Roman"/>
        </w:rPr>
        <w:t>刑法上區分故意與過失為兩輕重不同之責任型態的標準應</w:t>
      </w:r>
      <w:r w:rsidR="0087230E">
        <w:rPr>
          <w:rFonts w:ascii="Times New Roman" w:eastAsia="楷體-簡" w:hAnsi="Times New Roman" w:cs="Times New Roman" w:hint="eastAsia"/>
        </w:rPr>
        <w:t>是</w:t>
      </w:r>
      <w:r w:rsidRPr="00B555F4">
        <w:rPr>
          <w:rFonts w:ascii="Times New Roman" w:eastAsia="楷體-簡" w:hAnsi="Times New Roman" w:cs="Times New Roman"/>
        </w:rPr>
        <w:t>法敵對意志違反之程度，故意指的是具有法敵對意志；而過失指的是不具法敵對意志，但又無法稱之為法忠誠的情形</w:t>
      </w:r>
      <w:r>
        <w:rPr>
          <w:rStyle w:val="aa"/>
          <w:rFonts w:ascii="Times New Roman" w:eastAsia="楷體-簡" w:hAnsi="Times New Roman" w:cs="Times New Roman"/>
        </w:rPr>
        <w:footnoteReference w:id="9"/>
      </w:r>
      <w:r w:rsidRPr="00B555F4">
        <w:rPr>
          <w:rFonts w:ascii="Times New Roman" w:eastAsia="楷體-簡" w:hAnsi="Times New Roman" w:cs="Times New Roman"/>
        </w:rPr>
        <w:t>。而此意志不僅為靜態的面相，還有動態的面向，意即意志與認知在一個行為當中的交互關係</w:t>
      </w:r>
      <w:r>
        <w:rPr>
          <w:rFonts w:ascii="Times New Roman" w:eastAsia="楷體-簡" w:hAnsi="Times New Roman" w:cs="Times New Roman" w:hint="eastAsia"/>
        </w:rPr>
        <w:t>，可能由於法敵對意志促使相關認識的取得或是不取得，故於行為人對於因果歷程無所知時，必須檢驗是否有由於法敵對意志促使相關認識的不取得</w:t>
      </w:r>
      <w:r>
        <w:rPr>
          <w:rStyle w:val="aa"/>
          <w:rFonts w:ascii="Times New Roman" w:eastAsia="楷體-簡" w:hAnsi="Times New Roman" w:cs="Times New Roman"/>
        </w:rPr>
        <w:footnoteReference w:id="10"/>
      </w:r>
      <w:r>
        <w:rPr>
          <w:rFonts w:ascii="Times New Roman" w:eastAsia="楷體-簡" w:hAnsi="Times New Roman" w:cs="Times New Roman" w:hint="eastAsia"/>
        </w:rPr>
        <w:t>。而此說將認識區分為具體認識及抽象認識，分別指涉的是對於具體事態的認識，以及對於抽象法則的認識，行為人有可能因為欠缺具體的認識，因而未形成法敵對意志，而不能以故意論處，但如果行為本身已包含某一抽象認識，</w:t>
      </w:r>
      <w:r w:rsidR="0087230E">
        <w:rPr>
          <w:rFonts w:ascii="Times New Roman" w:eastAsia="楷體-簡" w:hAnsi="Times New Roman" w:cs="Times New Roman" w:hint="eastAsia"/>
        </w:rPr>
        <w:t>即可</w:t>
      </w:r>
      <w:r>
        <w:rPr>
          <w:rFonts w:ascii="Times New Roman" w:eastAsia="楷體-簡" w:hAnsi="Times New Roman" w:cs="Times New Roman" w:hint="eastAsia"/>
        </w:rPr>
        <w:t>進而確定行為人的意志範圍</w:t>
      </w:r>
      <w:r>
        <w:rPr>
          <w:rStyle w:val="aa"/>
          <w:rFonts w:ascii="Times New Roman" w:eastAsia="楷體-簡" w:hAnsi="Times New Roman" w:cs="Times New Roman"/>
        </w:rPr>
        <w:footnoteReference w:id="11"/>
      </w:r>
      <w:r>
        <w:rPr>
          <w:rFonts w:ascii="Times New Roman" w:eastAsia="楷體-簡" w:hAnsi="Times New Roman" w:cs="Times New Roman" w:hint="eastAsia"/>
        </w:rPr>
        <w:t>。</w:t>
      </w:r>
    </w:p>
    <w:p w14:paraId="2C7ADEBC" w14:textId="1FABD74B" w:rsidR="00B555F4" w:rsidRPr="00B555F4" w:rsidRDefault="00B555F4" w:rsidP="001F74D0">
      <w:pPr>
        <w:pStyle w:val="Web"/>
        <w:spacing w:before="0" w:beforeAutospacing="0" w:after="0" w:afterAutospacing="0"/>
        <w:ind w:leftChars="177" w:left="425" w:firstLineChars="177" w:firstLine="425"/>
        <w:rPr>
          <w:rFonts w:ascii="Times New Roman" w:eastAsia="楷體-簡" w:hAnsi="Times New Roman" w:cs="Times New Roman"/>
        </w:rPr>
      </w:pPr>
      <w:r>
        <w:rPr>
          <w:rFonts w:ascii="Times New Roman" w:eastAsia="楷體-簡" w:hAnsi="Times New Roman" w:cs="Times New Roman" w:hint="eastAsia"/>
        </w:rPr>
        <w:t>本文認為，雙重具體化錯誤說</w:t>
      </w:r>
      <w:r w:rsidR="001F74D0">
        <w:rPr>
          <w:rFonts w:ascii="Times New Roman" w:eastAsia="楷體-簡" w:hAnsi="Times New Roman" w:cs="Times New Roman" w:hint="eastAsia"/>
        </w:rPr>
        <w:t>其主張</w:t>
      </w:r>
      <w:r>
        <w:rPr>
          <w:rFonts w:ascii="Times New Roman" w:eastAsia="楷體-簡" w:hAnsi="Times New Roman" w:cs="Times New Roman" w:hint="eastAsia"/>
        </w:rPr>
        <w:t>應將心理學式故意重新建立成規範性故意，以求故意與錯誤論理一致，此說認為現行故意與錯誤的論理不一致，但實際上當行為人主客觀發生不一致時，規範性的錯誤理論始能體現故意的範圍，只是在當行為人並未發生不一致時，規範性的故意並為體現，單單心理學式故意即可說明行為人具有故意，故現今故意與錯誤理論實皆為規範性的評價。以上四種學說，因為雙重具體化錯誤說區分具體認識及抽象認識，提供一個更為明確之判準，故本文採之。</w:t>
      </w:r>
    </w:p>
    <w:p w14:paraId="5C4153C4" w14:textId="1E6F26A0" w:rsidR="00B555F4" w:rsidRDefault="001F74D0" w:rsidP="001F74D0">
      <w:pPr>
        <w:pStyle w:val="Web"/>
        <w:spacing w:before="0" w:beforeAutospacing="0" w:after="0" w:afterAutospacing="0"/>
        <w:rPr>
          <w:rFonts w:ascii="Times New Roman" w:eastAsia="楷體-簡" w:hAnsi="Times New Roman" w:cs="Times New Roman"/>
        </w:rPr>
      </w:pPr>
      <w:r>
        <w:rPr>
          <w:rFonts w:ascii="Times New Roman" w:eastAsia="楷體-簡" w:hAnsi="Times New Roman" w:cs="Times New Roman" w:hint="eastAsia"/>
        </w:rPr>
        <w:t>二、</w:t>
      </w:r>
      <w:r w:rsidR="00B555F4">
        <w:rPr>
          <w:rFonts w:ascii="Times New Roman" w:eastAsia="楷體-簡" w:hAnsi="Times New Roman" w:cs="Times New Roman" w:hint="eastAsia"/>
        </w:rPr>
        <w:t>甲以鹽酸混入牛奶傷害</w:t>
      </w:r>
      <w:r w:rsidR="00B555F4">
        <w:rPr>
          <w:rFonts w:ascii="Apple Color Emoji" w:eastAsia="楷體-簡" w:hAnsi="Apple Color Emoji" w:cs="Apple Color Emoji" w:hint="eastAsia"/>
        </w:rPr>
        <w:t>丙</w:t>
      </w:r>
      <w:r w:rsidR="00B555F4">
        <w:rPr>
          <w:rFonts w:ascii="Times New Roman" w:eastAsia="楷體-簡" w:hAnsi="Times New Roman" w:cs="Times New Roman" w:hint="eastAsia"/>
        </w:rPr>
        <w:t>之行為應成立刑法第</w:t>
      </w:r>
      <w:r w:rsidR="00B555F4">
        <w:rPr>
          <w:rFonts w:ascii="Times New Roman" w:eastAsia="楷體-簡" w:hAnsi="Times New Roman" w:cs="Times New Roman"/>
        </w:rPr>
        <w:t>277</w:t>
      </w:r>
      <w:r w:rsidR="00B555F4">
        <w:rPr>
          <w:rFonts w:ascii="Times New Roman" w:eastAsia="楷體-簡" w:hAnsi="Times New Roman" w:cs="Times New Roman" w:hint="eastAsia"/>
        </w:rPr>
        <w:t>條第一項普通傷害罪</w:t>
      </w:r>
    </w:p>
    <w:p w14:paraId="4CA4527F" w14:textId="41DDBEAF" w:rsidR="00B555F4" w:rsidRDefault="001F74D0" w:rsidP="001F74D0">
      <w:pPr>
        <w:pStyle w:val="Web"/>
        <w:spacing w:before="0" w:beforeAutospacing="0" w:after="0" w:afterAutospacing="0"/>
        <w:ind w:leftChars="118" w:left="283"/>
        <w:rPr>
          <w:rFonts w:ascii="Times New Roman" w:eastAsia="楷體-簡" w:hAnsi="Times New Roman" w:cs="Times New Roman"/>
        </w:rPr>
      </w:pPr>
      <w:r>
        <w:rPr>
          <w:rFonts w:ascii="Times New Roman" w:eastAsia="楷體-簡" w:hAnsi="Times New Roman" w:cs="Times New Roman" w:hint="eastAsia"/>
        </w:rPr>
        <w:t>（一）</w:t>
      </w:r>
      <w:r w:rsidR="00B555F4" w:rsidRPr="00B555F4">
        <w:rPr>
          <w:rFonts w:ascii="Times New Roman" w:eastAsia="楷體-簡" w:hAnsi="Times New Roman" w:cs="Times New Roman" w:hint="eastAsia"/>
        </w:rPr>
        <w:t>傷害人之身體或健康者，處五年以下有期徒刑、拘役或五十萬元以下罰金</w:t>
      </w:r>
      <w:r w:rsidR="0087230E">
        <w:rPr>
          <w:rFonts w:ascii="Times New Roman" w:eastAsia="楷體-簡" w:hAnsi="Times New Roman" w:cs="Times New Roman" w:hint="eastAsia"/>
        </w:rPr>
        <w:t>，刑法第</w:t>
      </w:r>
      <w:r w:rsidR="0087230E">
        <w:rPr>
          <w:rFonts w:ascii="Times New Roman" w:eastAsia="楷體-簡" w:hAnsi="Times New Roman" w:cs="Times New Roman"/>
        </w:rPr>
        <w:t>277</w:t>
      </w:r>
      <w:r w:rsidR="0087230E">
        <w:rPr>
          <w:rFonts w:ascii="Times New Roman" w:eastAsia="楷體-簡" w:hAnsi="Times New Roman" w:cs="Times New Roman" w:hint="eastAsia"/>
        </w:rPr>
        <w:t>條第一項定有明文</w:t>
      </w:r>
      <w:r w:rsidR="00B555F4" w:rsidRPr="00B555F4">
        <w:rPr>
          <w:rFonts w:ascii="Times New Roman" w:eastAsia="楷體-簡" w:hAnsi="Times New Roman" w:cs="Times New Roman" w:hint="eastAsia"/>
        </w:rPr>
        <w:t>。</w:t>
      </w:r>
    </w:p>
    <w:p w14:paraId="2CE10369" w14:textId="3E309FDE" w:rsidR="00B555F4" w:rsidRDefault="001F74D0" w:rsidP="001F74D0">
      <w:pPr>
        <w:pStyle w:val="Web"/>
        <w:spacing w:before="0" w:beforeAutospacing="0" w:after="0" w:afterAutospacing="0"/>
        <w:ind w:leftChars="118" w:left="283"/>
        <w:rPr>
          <w:rFonts w:ascii="Times New Roman" w:eastAsia="楷體-簡" w:hAnsi="Times New Roman" w:cs="Times New Roman"/>
        </w:rPr>
      </w:pPr>
      <w:r>
        <w:rPr>
          <w:rFonts w:ascii="Times New Roman" w:eastAsia="楷體-簡" w:hAnsi="Times New Roman" w:cs="Times New Roman" w:hint="eastAsia"/>
        </w:rPr>
        <w:t>（二）</w:t>
      </w:r>
      <w:r w:rsidR="00B555F4">
        <w:rPr>
          <w:rFonts w:ascii="Times New Roman" w:eastAsia="楷體-簡" w:hAnsi="Times New Roman" w:cs="Times New Roman" w:hint="eastAsia"/>
        </w:rPr>
        <w:t>構成要件該當性</w:t>
      </w:r>
    </w:p>
    <w:p w14:paraId="08059919" w14:textId="77777777" w:rsidR="001F74D0" w:rsidRDefault="00B555F4" w:rsidP="001F74D0">
      <w:pPr>
        <w:pStyle w:val="Web"/>
        <w:spacing w:before="0" w:beforeAutospacing="0" w:after="0" w:afterAutospacing="0"/>
        <w:ind w:leftChars="354" w:left="850" w:firstLine="1"/>
        <w:rPr>
          <w:rFonts w:ascii="Times New Roman" w:eastAsia="楷體-簡" w:hAnsi="Times New Roman" w:cs="Times New Roman"/>
        </w:rPr>
      </w:pPr>
      <w:r>
        <w:rPr>
          <w:rFonts w:ascii="Times New Roman" w:eastAsia="楷體-簡" w:hAnsi="Times New Roman" w:cs="Times New Roman"/>
        </w:rPr>
        <w:t>1</w:t>
      </w:r>
      <w:r w:rsidR="001F74D0">
        <w:rPr>
          <w:rFonts w:ascii="Times New Roman" w:eastAsia="楷體-簡" w:hAnsi="Times New Roman" w:cs="Times New Roman"/>
        </w:rPr>
        <w:t>.</w:t>
      </w:r>
      <w:r>
        <w:rPr>
          <w:rFonts w:ascii="Times New Roman" w:eastAsia="楷體-簡" w:hAnsi="Times New Roman" w:cs="Times New Roman" w:hint="eastAsia"/>
        </w:rPr>
        <w:t>客觀構成要件：</w:t>
      </w:r>
    </w:p>
    <w:p w14:paraId="487BB4EA" w14:textId="7574419A" w:rsidR="00B555F4" w:rsidRPr="00B555F4" w:rsidRDefault="00B555F4" w:rsidP="001F74D0">
      <w:pPr>
        <w:pStyle w:val="Web"/>
        <w:spacing w:before="0" w:beforeAutospacing="0" w:after="0" w:afterAutospacing="0"/>
        <w:ind w:leftChars="354" w:left="850" w:firstLine="426"/>
        <w:rPr>
          <w:rFonts w:ascii="Times New Roman" w:eastAsia="楷體-簡" w:hAnsi="Times New Roman" w:cs="Times New Roman"/>
        </w:rPr>
      </w:pPr>
      <w:r>
        <w:rPr>
          <w:rFonts w:ascii="Times New Roman" w:eastAsia="楷體-簡" w:hAnsi="Times New Roman" w:cs="Times New Roman" w:hint="eastAsia"/>
        </w:rPr>
        <w:t>甲以鹽酸混入牛奶之行為為丙口腔、食道灼傷為造成具體結果所有不可想像其不存在之每個條件，為發生結果之原因</w:t>
      </w:r>
      <w:r>
        <w:rPr>
          <w:rStyle w:val="aa"/>
          <w:rFonts w:ascii="Times New Roman" w:eastAsia="楷體-簡" w:hAnsi="Times New Roman" w:cs="Times New Roman"/>
        </w:rPr>
        <w:footnoteReference w:id="12"/>
      </w:r>
      <w:r>
        <w:rPr>
          <w:rFonts w:ascii="Times New Roman" w:eastAsia="楷體-簡" w:hAnsi="Times New Roman" w:cs="Times New Roman" w:hint="eastAsia"/>
        </w:rPr>
        <w:t>。</w:t>
      </w:r>
      <w:r w:rsidR="0087230E">
        <w:rPr>
          <w:rFonts w:ascii="Times New Roman" w:eastAsia="楷體-簡" w:hAnsi="Times New Roman" w:cs="Times New Roman" w:hint="eastAsia"/>
        </w:rPr>
        <w:t>惟具有條件因果關係並不代表行為人需為此結果負責，仍須通過客觀歸責的檢驗，</w:t>
      </w:r>
      <w:r>
        <w:rPr>
          <w:rFonts w:ascii="Times New Roman" w:eastAsia="楷體-簡" w:hAnsi="Times New Roman" w:cs="Times New Roman" w:hint="eastAsia"/>
        </w:rPr>
        <w:t>甲之行為製造法所不忍許之風險，且在具體結果中實現該風險，行為與結果</w:t>
      </w:r>
      <w:r>
        <w:rPr>
          <w:rFonts w:ascii="Times New Roman" w:eastAsia="楷體-簡" w:hAnsi="Times New Roman" w:cs="Times New Roman" w:hint="eastAsia"/>
        </w:rPr>
        <w:lastRenderedPageBreak/>
        <w:t>具常態關聯性，並無重大偏異，且該結果</w:t>
      </w:r>
      <w:r w:rsidR="0087230E">
        <w:rPr>
          <w:rFonts w:ascii="Times New Roman" w:eastAsia="楷體-簡" w:hAnsi="Times New Roman" w:cs="Times New Roman" w:hint="eastAsia"/>
        </w:rPr>
        <w:t>具</w:t>
      </w:r>
      <w:r>
        <w:rPr>
          <w:rFonts w:ascii="Times New Roman" w:eastAsia="楷體-簡" w:hAnsi="Times New Roman" w:cs="Times New Roman" w:hint="eastAsia"/>
        </w:rPr>
        <w:t>可避免性，結果不在他人及自我負責領域中，故該結果可歸責於甲</w:t>
      </w:r>
      <w:r>
        <w:rPr>
          <w:rStyle w:val="aa"/>
          <w:rFonts w:ascii="Times New Roman" w:eastAsia="楷體-簡" w:hAnsi="Times New Roman" w:cs="Times New Roman"/>
        </w:rPr>
        <w:footnoteReference w:id="13"/>
      </w:r>
      <w:r>
        <w:rPr>
          <w:rFonts w:ascii="Times New Roman" w:eastAsia="楷體-簡" w:hAnsi="Times New Roman" w:cs="Times New Roman" w:hint="eastAsia"/>
        </w:rPr>
        <w:t>。</w:t>
      </w:r>
      <w:r w:rsidR="0087230E">
        <w:rPr>
          <w:rFonts w:ascii="Times New Roman" w:eastAsia="楷體-簡" w:hAnsi="Times New Roman" w:cs="Times New Roman" w:hint="eastAsia"/>
        </w:rPr>
        <w:t>丙之口腔及食道被鹽酸灼傷，因本案丙欲喝牛奶而誤飲鹽酸，而</w:t>
      </w:r>
      <w:r w:rsidR="0087230E" w:rsidRPr="0087230E">
        <w:rPr>
          <w:rFonts w:ascii="Times New Roman" w:eastAsia="楷體-簡" w:hAnsi="Times New Roman" w:cs="Times New Roman"/>
        </w:rPr>
        <w:t>上消化道之腐蝕性傷害</w:t>
      </w:r>
      <w:r w:rsidR="0087230E">
        <w:rPr>
          <w:rFonts w:ascii="Times New Roman" w:eastAsia="楷體-簡" w:hAnsi="Times New Roman" w:cs="Times New Roman" w:hint="eastAsia"/>
        </w:rPr>
        <w:t>臨床</w:t>
      </w:r>
      <w:r w:rsidR="0087230E" w:rsidRPr="0087230E">
        <w:rPr>
          <w:rFonts w:ascii="Times New Roman" w:eastAsia="楷體-簡" w:hAnsi="Times New Roman" w:cs="Times New Roman"/>
        </w:rPr>
        <w:t>症狀與吞食的腐蝕劑種類、型態有關</w:t>
      </w:r>
      <w:r w:rsidR="0087230E">
        <w:rPr>
          <w:rFonts w:ascii="Times New Roman" w:eastAsia="楷體-簡" w:hAnsi="Times New Roman" w:cs="Times New Roman" w:hint="eastAsia"/>
        </w:rPr>
        <w:t>，</w:t>
      </w:r>
      <w:r w:rsidR="0087230E" w:rsidRPr="0087230E">
        <w:rPr>
          <w:rFonts w:ascii="Times New Roman" w:eastAsia="楷體-簡" w:hAnsi="Times New Roman" w:cs="Times New Roman" w:hint="eastAsia"/>
        </w:rPr>
        <w:t>服</w:t>
      </w:r>
      <w:r w:rsidR="0087230E" w:rsidRPr="0087230E">
        <w:rPr>
          <w:rFonts w:ascii="Times New Roman" w:eastAsia="楷體-簡" w:hAnsi="Times New Roman" w:cs="Times New Roman"/>
        </w:rPr>
        <w:t>用液態腐蝕劑者，液體流入食道及胃造成傷害，但口腔咽喉卻沒有多大損傷，病人的症狀有噁心嘔吐、吞嚥困難、流涎、腹痛</w:t>
      </w:r>
      <w:r w:rsidR="0087230E">
        <w:rPr>
          <w:rStyle w:val="aa"/>
          <w:rFonts w:ascii="Times New Roman" w:eastAsia="楷體-簡" w:hAnsi="Times New Roman" w:cs="Times New Roman"/>
        </w:rPr>
        <w:footnoteReference w:id="14"/>
      </w:r>
      <w:r w:rsidR="0087230E">
        <w:rPr>
          <w:rFonts w:ascii="Times New Roman" w:eastAsia="楷體-簡" w:hAnsi="Times New Roman" w:cs="Times New Roman" w:hint="eastAsia"/>
        </w:rPr>
        <w:t>，而本案丙僅口腔及食道灼傷，尚未達刑法第</w:t>
      </w:r>
      <w:r w:rsidR="0087230E">
        <w:rPr>
          <w:rFonts w:ascii="Times New Roman" w:eastAsia="楷體-簡" w:hAnsi="Times New Roman" w:cs="Times New Roman"/>
        </w:rPr>
        <w:t>10</w:t>
      </w:r>
      <w:r w:rsidR="0087230E">
        <w:rPr>
          <w:rFonts w:ascii="Times New Roman" w:eastAsia="楷體-簡" w:hAnsi="Times New Roman" w:cs="Times New Roman" w:hint="eastAsia"/>
        </w:rPr>
        <w:t>條第三項第六款之重傷程度，併此說明</w:t>
      </w:r>
      <w:r w:rsidR="0087230E" w:rsidRPr="0087230E">
        <w:rPr>
          <w:rFonts w:ascii="Times New Roman" w:eastAsia="楷體-簡" w:hAnsi="Times New Roman" w:cs="Times New Roman"/>
        </w:rPr>
        <w:t>。</w:t>
      </w:r>
    </w:p>
    <w:p w14:paraId="762E114B" w14:textId="195B13D8" w:rsidR="00B555F4" w:rsidRDefault="00B555F4" w:rsidP="001F74D0">
      <w:pPr>
        <w:pStyle w:val="Web"/>
        <w:spacing w:before="0" w:beforeAutospacing="0" w:after="0" w:afterAutospacing="0"/>
        <w:ind w:leftChars="354" w:left="850"/>
        <w:rPr>
          <w:rFonts w:ascii="Times New Roman" w:eastAsia="楷體-簡" w:hAnsi="Times New Roman" w:cs="Times New Roman"/>
        </w:rPr>
      </w:pPr>
      <w:r>
        <w:rPr>
          <w:rFonts w:ascii="Times New Roman" w:eastAsia="楷體-簡" w:hAnsi="Times New Roman" w:cs="Times New Roman"/>
        </w:rPr>
        <w:t>2</w:t>
      </w:r>
      <w:r w:rsidR="001F74D0">
        <w:rPr>
          <w:rFonts w:ascii="Times New Roman" w:eastAsia="楷體-簡" w:hAnsi="Times New Roman" w:cs="Times New Roman"/>
        </w:rPr>
        <w:t>.</w:t>
      </w:r>
      <w:r>
        <w:rPr>
          <w:rFonts w:ascii="Times New Roman" w:eastAsia="楷體-簡" w:hAnsi="Times New Roman" w:cs="Times New Roman" w:hint="eastAsia"/>
        </w:rPr>
        <w:t>主觀構成要件：</w:t>
      </w:r>
    </w:p>
    <w:p w14:paraId="1FE0E325" w14:textId="58235144" w:rsidR="00B555F4" w:rsidRPr="00B555F4" w:rsidRDefault="00B555F4" w:rsidP="001F74D0">
      <w:pPr>
        <w:pStyle w:val="Web"/>
        <w:spacing w:before="0" w:beforeAutospacing="0" w:after="0" w:afterAutospacing="0"/>
        <w:ind w:leftChars="354" w:left="850" w:firstLine="426"/>
        <w:rPr>
          <w:rFonts w:ascii="Times New Roman" w:eastAsia="楷體-簡" w:hAnsi="Times New Roman" w:cs="Times New Roman"/>
        </w:rPr>
      </w:pPr>
      <w:r>
        <w:rPr>
          <w:rFonts w:ascii="Times New Roman" w:eastAsia="楷體-簡" w:hAnsi="Times New Roman" w:cs="Times New Roman" w:hint="eastAsia"/>
        </w:rPr>
        <w:t>甲因為僅欲使乙</w:t>
      </w:r>
      <w:r w:rsidR="001F74D0">
        <w:rPr>
          <w:rFonts w:ascii="Times New Roman" w:eastAsia="楷體-簡" w:hAnsi="Times New Roman" w:cs="Times New Roman" w:hint="eastAsia"/>
        </w:rPr>
        <w:t>停止偷喝的行為</w:t>
      </w:r>
      <w:r>
        <w:rPr>
          <w:rFonts w:ascii="Times New Roman" w:eastAsia="楷體-簡" w:hAnsi="Times New Roman" w:cs="Times New Roman" w:hint="eastAsia"/>
        </w:rPr>
        <w:t>而基於傷害故意，天真的認為他將鹽酸混入牛奶可以使乙被鹽酸灼傷以</w:t>
      </w:r>
      <w:r w:rsidR="001F74D0">
        <w:rPr>
          <w:rFonts w:ascii="Times New Roman" w:eastAsia="楷體-簡" w:hAnsi="Times New Roman" w:cs="Times New Roman" w:hint="eastAsia"/>
        </w:rPr>
        <w:t>阻止</w:t>
      </w:r>
      <w:r>
        <w:rPr>
          <w:rFonts w:ascii="Times New Roman" w:eastAsia="楷體-簡" w:hAnsi="Times New Roman" w:cs="Times New Roman" w:hint="eastAsia"/>
        </w:rPr>
        <w:t>其偷喝行為的結果將會實現，所以對於實際的因果流程，亦即對於不相關的丙被鹽酸灼傷未能預見，而欠缺具體的認識，此時仍需檢驗是否依照抽象知識此因果鏈必然或是很有可能實現構成要件，甲將鹽酸導入牛奶盒中，冰箱中的飲品本即供家庭中任何人日常生活中飲用，必然造成其後的飲用者受傷，甲本即有此一抽象認識，法敵對意志所包括的範圍，當然就包含此一必然的結果，於此情形與客體錯誤相同，甲以鹽酸混入牛奶之傷害行為必然實現構成要件，人之同一性並不重要，而不阻卻故意。</w:t>
      </w:r>
    </w:p>
    <w:p w14:paraId="021A794B" w14:textId="04E4B611" w:rsidR="00B555F4" w:rsidRDefault="001F74D0" w:rsidP="001F74D0">
      <w:pPr>
        <w:pStyle w:val="Web"/>
        <w:spacing w:before="0" w:beforeAutospacing="0" w:after="0" w:afterAutospacing="0"/>
        <w:ind w:leftChars="118" w:left="283"/>
        <w:rPr>
          <w:rFonts w:ascii="Times New Roman" w:eastAsia="楷體-簡" w:hAnsi="Times New Roman" w:cs="Times New Roman"/>
        </w:rPr>
      </w:pPr>
      <w:r>
        <w:rPr>
          <w:rFonts w:ascii="Times New Roman" w:eastAsia="楷體-簡" w:hAnsi="Times New Roman" w:cs="Times New Roman" w:hint="eastAsia"/>
        </w:rPr>
        <w:t>（三）</w:t>
      </w:r>
      <w:r w:rsidR="00B555F4">
        <w:rPr>
          <w:rFonts w:ascii="Times New Roman" w:eastAsia="楷體-簡" w:hAnsi="Times New Roman" w:cs="Times New Roman" w:hint="eastAsia"/>
        </w:rPr>
        <w:t>甲無阻卻違法事由及阻卻罪責事由</w:t>
      </w:r>
    </w:p>
    <w:p w14:paraId="5191ADCE" w14:textId="784D99AA" w:rsidR="00B555F4" w:rsidRDefault="001F74D0" w:rsidP="001F74D0">
      <w:pPr>
        <w:pStyle w:val="Web"/>
        <w:spacing w:before="0" w:beforeAutospacing="0" w:after="0" w:afterAutospacing="0"/>
        <w:ind w:leftChars="118" w:left="283"/>
        <w:rPr>
          <w:rFonts w:ascii="Times New Roman" w:eastAsia="楷體-簡" w:hAnsi="Times New Roman" w:cs="Times New Roman"/>
        </w:rPr>
      </w:pPr>
      <w:r>
        <w:rPr>
          <w:rFonts w:ascii="Times New Roman" w:eastAsia="楷體-簡" w:hAnsi="Times New Roman" w:cs="Times New Roman" w:hint="eastAsia"/>
        </w:rPr>
        <w:t>（四）</w:t>
      </w:r>
      <w:r w:rsidR="00B555F4">
        <w:rPr>
          <w:rFonts w:ascii="Times New Roman" w:eastAsia="楷體-簡" w:hAnsi="Times New Roman" w:cs="Times New Roman" w:hint="eastAsia"/>
        </w:rPr>
        <w:t>結論：甲之行為成立刑法第</w:t>
      </w:r>
      <w:r w:rsidR="00B555F4">
        <w:rPr>
          <w:rFonts w:ascii="Times New Roman" w:eastAsia="楷體-簡" w:hAnsi="Times New Roman" w:cs="Times New Roman"/>
        </w:rPr>
        <w:t>277</w:t>
      </w:r>
      <w:r w:rsidR="00B555F4">
        <w:rPr>
          <w:rFonts w:ascii="Times New Roman" w:eastAsia="楷體-簡" w:hAnsi="Times New Roman" w:cs="Times New Roman" w:hint="eastAsia"/>
        </w:rPr>
        <w:t>條第</w:t>
      </w:r>
      <w:r w:rsidR="0087230E">
        <w:rPr>
          <w:rFonts w:ascii="Times New Roman" w:eastAsia="楷體-簡" w:hAnsi="Times New Roman" w:cs="Times New Roman" w:hint="eastAsia"/>
        </w:rPr>
        <w:t>一</w:t>
      </w:r>
      <w:r w:rsidR="00B555F4">
        <w:rPr>
          <w:rFonts w:ascii="Times New Roman" w:eastAsia="楷體-簡" w:hAnsi="Times New Roman" w:cs="Times New Roman" w:hint="eastAsia"/>
        </w:rPr>
        <w:t>項普通傷害罪</w:t>
      </w:r>
    </w:p>
    <w:p w14:paraId="3872F7C7" w14:textId="77777777" w:rsidR="00B555F4" w:rsidRDefault="00B555F4" w:rsidP="00B555F4">
      <w:pPr>
        <w:pStyle w:val="Web"/>
        <w:pBdr>
          <w:bottom w:val="single" w:sz="6" w:space="1" w:color="auto"/>
        </w:pBdr>
        <w:spacing w:before="0" w:beforeAutospacing="0" w:after="0" w:afterAutospacing="0"/>
        <w:ind w:leftChars="118" w:left="283"/>
        <w:rPr>
          <w:rFonts w:ascii="Times New Roman" w:eastAsia="楷體-簡" w:hAnsi="Times New Roman" w:cs="Times New Roman"/>
        </w:rPr>
      </w:pPr>
    </w:p>
    <w:p w14:paraId="08A830DE" w14:textId="77777777" w:rsidR="00B555F4" w:rsidRDefault="00B555F4" w:rsidP="00B555F4">
      <w:pPr>
        <w:pStyle w:val="Web"/>
        <w:spacing w:before="0" w:beforeAutospacing="0" w:after="0" w:afterAutospacing="0"/>
        <w:ind w:leftChars="118" w:left="283"/>
        <w:rPr>
          <w:rFonts w:ascii="Times New Roman" w:eastAsia="楷體-簡" w:hAnsi="Times New Roman" w:cs="Times New Roman"/>
        </w:rPr>
      </w:pPr>
    </w:p>
    <w:p w14:paraId="14C7A8AA" w14:textId="08A94BDC" w:rsidR="00B555F4" w:rsidRDefault="00B555F4" w:rsidP="00B555F4">
      <w:pPr>
        <w:pStyle w:val="Web"/>
        <w:spacing w:before="0" w:beforeAutospacing="0" w:after="0" w:afterAutospacing="0"/>
        <w:ind w:leftChars="118" w:left="283"/>
        <w:rPr>
          <w:rFonts w:ascii="Times New Roman" w:eastAsia="楷體-簡" w:hAnsi="Times New Roman" w:cs="Times New Roman"/>
        </w:rPr>
      </w:pPr>
      <w:r>
        <w:rPr>
          <w:rFonts w:ascii="Times New Roman" w:eastAsia="楷體-簡" w:hAnsi="Times New Roman" w:cs="Times New Roman" w:hint="eastAsia"/>
        </w:rPr>
        <w:t>第二種解題方法</w:t>
      </w:r>
    </w:p>
    <w:p w14:paraId="032EBC66" w14:textId="19A939D5" w:rsidR="00B555F4" w:rsidRDefault="00B555F4" w:rsidP="00B555F4">
      <w:pPr>
        <w:pStyle w:val="Web"/>
        <w:spacing w:before="0" w:beforeAutospacing="0" w:after="0" w:afterAutospacing="0"/>
        <w:ind w:leftChars="177" w:left="425"/>
        <w:rPr>
          <w:rFonts w:ascii="Times New Roman" w:eastAsia="楷體-簡" w:hAnsi="Times New Roman" w:cs="Times New Roman"/>
        </w:rPr>
      </w:pPr>
      <w:r>
        <w:rPr>
          <w:rFonts w:ascii="Times New Roman" w:eastAsia="楷體-簡" w:hAnsi="Times New Roman" w:cs="Times New Roman" w:hint="eastAsia"/>
        </w:rPr>
        <w:t>引言</w:t>
      </w:r>
    </w:p>
    <w:p w14:paraId="3930C30C" w14:textId="7875F263" w:rsidR="00B555F4" w:rsidRDefault="00B555F4" w:rsidP="00B555F4">
      <w:pPr>
        <w:pStyle w:val="Web"/>
        <w:spacing w:before="0" w:beforeAutospacing="0" w:after="0" w:afterAutospacing="0"/>
        <w:ind w:leftChars="236" w:left="566"/>
        <w:rPr>
          <w:rFonts w:ascii="Times New Roman" w:eastAsia="楷體-簡" w:hAnsi="Times New Roman" w:cs="Times New Roman"/>
        </w:rPr>
      </w:pPr>
      <w:r>
        <w:rPr>
          <w:rFonts w:ascii="Times New Roman" w:eastAsia="楷體-簡" w:hAnsi="Times New Roman" w:cs="Times New Roman" w:hint="eastAsia"/>
        </w:rPr>
        <w:t>一、甲說</w:t>
      </w:r>
    </w:p>
    <w:p w14:paraId="74A8E998" w14:textId="16CC5478" w:rsidR="00B555F4" w:rsidRDefault="00B555F4" w:rsidP="00B555F4">
      <w:pPr>
        <w:pStyle w:val="Web"/>
        <w:spacing w:before="0" w:beforeAutospacing="0" w:after="0" w:afterAutospacing="0"/>
        <w:ind w:leftChars="236" w:left="566"/>
        <w:rPr>
          <w:rFonts w:ascii="Times New Roman" w:eastAsia="楷體-簡" w:hAnsi="Times New Roman" w:cs="Times New Roman"/>
        </w:rPr>
      </w:pPr>
      <w:r>
        <w:rPr>
          <w:rFonts w:ascii="Times New Roman" w:eastAsia="楷體-簡" w:hAnsi="Times New Roman" w:cs="Times New Roman" w:hint="eastAsia"/>
        </w:rPr>
        <w:t>二、乙說</w:t>
      </w:r>
    </w:p>
    <w:p w14:paraId="1AF6009D" w14:textId="6A824719" w:rsidR="00B555F4" w:rsidRDefault="00B555F4" w:rsidP="00B555F4">
      <w:pPr>
        <w:pStyle w:val="Web"/>
        <w:spacing w:before="0" w:beforeAutospacing="0" w:after="0" w:afterAutospacing="0"/>
        <w:ind w:leftChars="236" w:left="566"/>
        <w:rPr>
          <w:rFonts w:ascii="Times New Roman" w:eastAsia="楷體-簡" w:hAnsi="Times New Roman" w:cs="Times New Roman"/>
        </w:rPr>
      </w:pPr>
      <w:r>
        <w:rPr>
          <w:rFonts w:ascii="Times New Roman" w:eastAsia="楷體-簡" w:hAnsi="Times New Roman" w:cs="Times New Roman" w:hint="eastAsia"/>
        </w:rPr>
        <w:t>三、丙說</w:t>
      </w:r>
    </w:p>
    <w:p w14:paraId="419903A4" w14:textId="71FE7EB2" w:rsidR="00B555F4" w:rsidRDefault="00B555F4" w:rsidP="00B555F4">
      <w:pPr>
        <w:pStyle w:val="Web"/>
        <w:spacing w:before="0" w:beforeAutospacing="0" w:after="0" w:afterAutospacing="0"/>
        <w:ind w:leftChars="236" w:left="566"/>
        <w:rPr>
          <w:rFonts w:ascii="Times New Roman" w:eastAsia="楷體-簡" w:hAnsi="Times New Roman" w:cs="Times New Roman"/>
        </w:rPr>
      </w:pPr>
      <w:r>
        <w:rPr>
          <w:rFonts w:ascii="Times New Roman" w:eastAsia="楷體-簡" w:hAnsi="Times New Roman" w:cs="Times New Roman" w:hint="eastAsia"/>
        </w:rPr>
        <w:t>四、丁說</w:t>
      </w:r>
    </w:p>
    <w:p w14:paraId="3B764332" w14:textId="680AE7F9" w:rsidR="00B555F4" w:rsidRDefault="00B555F4" w:rsidP="00B555F4">
      <w:pPr>
        <w:pStyle w:val="Web"/>
        <w:spacing w:before="0" w:beforeAutospacing="0" w:after="0" w:afterAutospacing="0"/>
        <w:ind w:leftChars="236" w:left="566"/>
        <w:rPr>
          <w:rFonts w:ascii="Times New Roman" w:eastAsia="楷體-簡" w:hAnsi="Times New Roman" w:cs="Times New Roman"/>
        </w:rPr>
      </w:pPr>
      <w:r>
        <w:rPr>
          <w:rFonts w:ascii="Times New Roman" w:eastAsia="楷體-簡" w:hAnsi="Times New Roman" w:cs="Times New Roman" w:hint="eastAsia"/>
        </w:rPr>
        <w:t>五、結論</w:t>
      </w:r>
    </w:p>
    <w:sectPr w:rsidR="00B555F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1DE7" w14:textId="77777777" w:rsidR="00B86F61" w:rsidRDefault="00B86F61" w:rsidP="00B555F4">
      <w:r>
        <w:separator/>
      </w:r>
    </w:p>
  </w:endnote>
  <w:endnote w:type="continuationSeparator" w:id="0">
    <w:p w14:paraId="4C9D9356" w14:textId="77777777" w:rsidR="00B86F61" w:rsidRDefault="00B86F61" w:rsidP="00B5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楷體-簡">
    <w:altName w:val="新細明體"/>
    <w:panose1 w:val="02010600040101010101"/>
    <w:charset w:val="88"/>
    <w:family w:val="roman"/>
    <w:notTrueType/>
    <w:pitch w:val="default"/>
    <w:sig w:usb0="80000287" w:usb1="280F3C52" w:usb2="00000016" w:usb3="00000000" w:csb0="0004001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3A768" w14:textId="77777777" w:rsidR="00B86F61" w:rsidRDefault="00B86F61" w:rsidP="00B555F4">
      <w:r>
        <w:separator/>
      </w:r>
    </w:p>
  </w:footnote>
  <w:footnote w:type="continuationSeparator" w:id="0">
    <w:p w14:paraId="188A7CF1" w14:textId="77777777" w:rsidR="00B86F61" w:rsidRDefault="00B86F61" w:rsidP="00B555F4">
      <w:r>
        <w:continuationSeparator/>
      </w:r>
    </w:p>
  </w:footnote>
  <w:footnote w:id="1">
    <w:p w14:paraId="72764F0D" w14:textId="6EEF08AD" w:rsidR="00B555F4" w:rsidRPr="00B555F4" w:rsidRDefault="00B555F4">
      <w:pPr>
        <w:pStyle w:val="a8"/>
        <w:rPr>
          <w:rFonts w:ascii="Times New Roman" w:hAnsi="Times New Roman" w:cs="Times New Roman"/>
        </w:rPr>
      </w:pPr>
      <w:r w:rsidRPr="00B555F4">
        <w:rPr>
          <w:rStyle w:val="aa"/>
          <w:rFonts w:ascii="Times New Roman" w:hAnsi="Times New Roman" w:cs="Times New Roman"/>
        </w:rPr>
        <w:footnoteRef/>
      </w:r>
      <w:r w:rsidRPr="00B555F4">
        <w:rPr>
          <w:rFonts w:ascii="Times New Roman" w:hAnsi="Times New Roman" w:cs="Times New Roman"/>
        </w:rPr>
        <w:t xml:space="preserve"> </w:t>
      </w:r>
      <w:r w:rsidRPr="00B555F4">
        <w:rPr>
          <w:rFonts w:ascii="Times New Roman" w:hAnsi="Times New Roman" w:cs="Times New Roman"/>
        </w:rPr>
        <w:t>徐育安，刑法故意與錯誤理論之發展與重建，台灣法學雜誌，第</w:t>
      </w:r>
      <w:r w:rsidRPr="00B555F4">
        <w:rPr>
          <w:rFonts w:ascii="Times New Roman" w:hAnsi="Times New Roman" w:cs="Times New Roman"/>
        </w:rPr>
        <w:t>400</w:t>
      </w:r>
      <w:r w:rsidRPr="00B555F4">
        <w:rPr>
          <w:rFonts w:ascii="Times New Roman" w:hAnsi="Times New Roman" w:cs="Times New Roman"/>
        </w:rPr>
        <w:t>期，頁</w:t>
      </w:r>
      <w:r w:rsidRPr="00B555F4">
        <w:rPr>
          <w:rFonts w:ascii="Times New Roman" w:hAnsi="Times New Roman" w:cs="Times New Roman"/>
        </w:rPr>
        <w:t>96</w:t>
      </w:r>
      <w:r w:rsidRPr="00B555F4">
        <w:rPr>
          <w:rFonts w:ascii="Times New Roman" w:hAnsi="Times New Roman" w:cs="Times New Roman"/>
        </w:rPr>
        <w:t>，</w:t>
      </w:r>
      <w:r w:rsidRPr="00B555F4">
        <w:rPr>
          <w:rFonts w:ascii="Times New Roman" w:hAnsi="Times New Roman" w:cs="Times New Roman"/>
        </w:rPr>
        <w:t>2020</w:t>
      </w:r>
      <w:r w:rsidRPr="00B555F4">
        <w:rPr>
          <w:rFonts w:ascii="Times New Roman" w:hAnsi="Times New Roman" w:cs="Times New Roman"/>
        </w:rPr>
        <w:t>年</w:t>
      </w:r>
      <w:r w:rsidRPr="00B555F4">
        <w:rPr>
          <w:rFonts w:ascii="Times New Roman" w:hAnsi="Times New Roman" w:cs="Times New Roman"/>
        </w:rPr>
        <w:t>9</w:t>
      </w:r>
      <w:r w:rsidRPr="00B555F4">
        <w:rPr>
          <w:rFonts w:ascii="Times New Roman" w:hAnsi="Times New Roman" w:cs="Times New Roman"/>
        </w:rPr>
        <w:t>月。</w:t>
      </w:r>
    </w:p>
  </w:footnote>
  <w:footnote w:id="2">
    <w:p w14:paraId="13D116A2" w14:textId="3D427149" w:rsidR="00B555F4" w:rsidRPr="00B555F4" w:rsidRDefault="00B555F4">
      <w:pPr>
        <w:pStyle w:val="a8"/>
        <w:rPr>
          <w:rFonts w:ascii="Times New Roman" w:hAnsi="Times New Roman" w:cs="Times New Roman"/>
        </w:rPr>
      </w:pPr>
      <w:r w:rsidRPr="00B555F4">
        <w:rPr>
          <w:rStyle w:val="aa"/>
          <w:rFonts w:ascii="Times New Roman" w:hAnsi="Times New Roman" w:cs="Times New Roman"/>
        </w:rPr>
        <w:footnoteRef/>
      </w:r>
      <w:r w:rsidRPr="00B555F4">
        <w:rPr>
          <w:rFonts w:ascii="Times New Roman" w:hAnsi="Times New Roman" w:cs="Times New Roman"/>
        </w:rPr>
        <w:t xml:space="preserve"> </w:t>
      </w:r>
      <w:r w:rsidRPr="00B555F4">
        <w:rPr>
          <w:rFonts w:ascii="Times New Roman" w:hAnsi="Times New Roman" w:cs="Times New Roman"/>
        </w:rPr>
        <w:t>此說由</w:t>
      </w:r>
      <w:proofErr w:type="spellStart"/>
      <w:r w:rsidRPr="00B555F4">
        <w:rPr>
          <w:rFonts w:ascii="Times New Roman" w:hAnsi="Times New Roman" w:cs="Times New Roman"/>
        </w:rPr>
        <w:t>Roxin</w:t>
      </w:r>
      <w:proofErr w:type="spellEnd"/>
      <w:r w:rsidRPr="00B555F4">
        <w:rPr>
          <w:rFonts w:ascii="Times New Roman" w:hAnsi="Times New Roman" w:cs="Times New Roman"/>
        </w:rPr>
        <w:t>所提出，原作者將此說分類為客體錯誤，但本文認為此說應是同下述一、（一）、</w:t>
      </w:r>
      <w:r w:rsidRPr="00B555F4">
        <w:rPr>
          <w:rFonts w:ascii="Times New Roman" w:hAnsi="Times New Roman" w:cs="Times New Roman"/>
        </w:rPr>
        <w:t>3</w:t>
      </w:r>
      <w:r w:rsidRPr="00B555F4">
        <w:rPr>
          <w:rFonts w:ascii="Times New Roman" w:hAnsi="Times New Roman" w:cs="Times New Roman"/>
        </w:rPr>
        <w:t>之不區分說，即具有種類故意，故屬不具有重要性的客體錯誤。</w:t>
      </w:r>
    </w:p>
  </w:footnote>
  <w:footnote w:id="3">
    <w:p w14:paraId="52A2D45C" w14:textId="51AF7526" w:rsidR="00B555F4" w:rsidRPr="00B555F4" w:rsidRDefault="00B555F4">
      <w:pPr>
        <w:pStyle w:val="a8"/>
        <w:rPr>
          <w:rFonts w:ascii="Times New Roman" w:hAnsi="Times New Roman" w:cs="Times New Roman"/>
        </w:rPr>
      </w:pPr>
      <w:r w:rsidRPr="00B555F4">
        <w:rPr>
          <w:rStyle w:val="aa"/>
          <w:rFonts w:ascii="Times New Roman" w:hAnsi="Times New Roman" w:cs="Times New Roman"/>
        </w:rPr>
        <w:footnoteRef/>
      </w:r>
      <w:r w:rsidRPr="00B555F4">
        <w:rPr>
          <w:rFonts w:ascii="Times New Roman" w:hAnsi="Times New Roman" w:cs="Times New Roman"/>
        </w:rPr>
        <w:t xml:space="preserve"> </w:t>
      </w:r>
      <w:r w:rsidR="0087230E" w:rsidRPr="00B555F4">
        <w:rPr>
          <w:rFonts w:ascii="Times New Roman" w:hAnsi="Times New Roman" w:cs="Times New Roman"/>
        </w:rPr>
        <w:t>同註</w:t>
      </w:r>
      <w:r w:rsidR="0087230E">
        <w:rPr>
          <w:rFonts w:ascii="Times New Roman" w:hAnsi="Times New Roman" w:cs="Times New Roman" w:hint="eastAsia"/>
        </w:rPr>
        <w:t>一</w:t>
      </w:r>
      <w:r w:rsidR="0087230E" w:rsidRPr="00B555F4">
        <w:rPr>
          <w:rFonts w:ascii="Times New Roman" w:hAnsi="Times New Roman" w:cs="Times New Roman"/>
        </w:rPr>
        <w:t>，頁</w:t>
      </w:r>
      <w:r w:rsidR="0087230E" w:rsidRPr="00B555F4">
        <w:rPr>
          <w:rFonts w:ascii="Times New Roman" w:hAnsi="Times New Roman" w:cs="Times New Roman"/>
        </w:rPr>
        <w:t>97</w:t>
      </w:r>
      <w:r w:rsidR="0087230E">
        <w:rPr>
          <w:rFonts w:ascii="Times New Roman" w:hAnsi="Times New Roman" w:cs="Times New Roman" w:hint="eastAsia"/>
        </w:rPr>
        <w:t>，</w:t>
      </w:r>
      <w:r w:rsidR="0087230E" w:rsidRPr="00B555F4">
        <w:rPr>
          <w:rFonts w:ascii="Times New Roman" w:eastAsia="楷體-簡" w:hAnsi="Times New Roman" w:cs="Times New Roman"/>
        </w:rPr>
        <w:t>德國聯邦最高法院</w:t>
      </w:r>
      <w:r w:rsidR="0087230E">
        <w:rPr>
          <w:rFonts w:ascii="Times New Roman" w:eastAsia="楷體-簡" w:hAnsi="Times New Roman" w:cs="Times New Roman" w:hint="eastAsia"/>
        </w:rPr>
        <w:t>之判決請參酌</w:t>
      </w:r>
      <w:r w:rsidRPr="00B555F4">
        <w:rPr>
          <w:rFonts w:ascii="Times New Roman" w:hAnsi="Times New Roman" w:cs="Times New Roman"/>
        </w:rPr>
        <w:t xml:space="preserve">BGH </w:t>
      </w:r>
      <w:proofErr w:type="spellStart"/>
      <w:r w:rsidRPr="00B555F4">
        <w:rPr>
          <w:rFonts w:ascii="Times New Roman" w:hAnsi="Times New Roman" w:cs="Times New Roman"/>
        </w:rPr>
        <w:t>NStZ</w:t>
      </w:r>
      <w:proofErr w:type="spellEnd"/>
      <w:r w:rsidRPr="00B555F4">
        <w:rPr>
          <w:rFonts w:ascii="Times New Roman" w:hAnsi="Times New Roman" w:cs="Times New Roman"/>
        </w:rPr>
        <w:t xml:space="preserve"> 1998, 294.</w:t>
      </w:r>
    </w:p>
  </w:footnote>
  <w:footnote w:id="4">
    <w:p w14:paraId="03188B23" w14:textId="6A5AB35D" w:rsidR="00B555F4" w:rsidRPr="00B555F4" w:rsidRDefault="00B555F4">
      <w:pPr>
        <w:pStyle w:val="a8"/>
        <w:rPr>
          <w:rFonts w:ascii="Times New Roman" w:hAnsi="Times New Roman" w:cs="Times New Roman"/>
        </w:rPr>
      </w:pPr>
      <w:r w:rsidRPr="00B555F4">
        <w:rPr>
          <w:rStyle w:val="aa"/>
          <w:rFonts w:ascii="Times New Roman" w:hAnsi="Times New Roman" w:cs="Times New Roman"/>
        </w:rPr>
        <w:footnoteRef/>
      </w:r>
      <w:r w:rsidRPr="00B555F4">
        <w:rPr>
          <w:rFonts w:ascii="Times New Roman" w:hAnsi="Times New Roman" w:cs="Times New Roman"/>
        </w:rPr>
        <w:t xml:space="preserve"> </w:t>
      </w:r>
      <w:r w:rsidRPr="00B555F4">
        <w:rPr>
          <w:rFonts w:ascii="Times New Roman" w:hAnsi="Times New Roman" w:cs="Times New Roman"/>
        </w:rPr>
        <w:t>同註</w:t>
      </w:r>
      <w:r>
        <w:rPr>
          <w:rFonts w:ascii="Times New Roman" w:hAnsi="Times New Roman" w:cs="Times New Roman" w:hint="eastAsia"/>
        </w:rPr>
        <w:t>一</w:t>
      </w:r>
      <w:r w:rsidRPr="00B555F4">
        <w:rPr>
          <w:rFonts w:ascii="Times New Roman" w:hAnsi="Times New Roman" w:cs="Times New Roman"/>
        </w:rPr>
        <w:t>，頁</w:t>
      </w:r>
      <w:r w:rsidRPr="00B555F4">
        <w:rPr>
          <w:rFonts w:ascii="Times New Roman" w:hAnsi="Times New Roman" w:cs="Times New Roman"/>
        </w:rPr>
        <w:t>97</w:t>
      </w:r>
      <w:r w:rsidRPr="00B555F4">
        <w:rPr>
          <w:rFonts w:ascii="Times New Roman" w:hAnsi="Times New Roman" w:cs="Times New Roman"/>
        </w:rPr>
        <w:t>。</w:t>
      </w:r>
    </w:p>
  </w:footnote>
  <w:footnote w:id="5">
    <w:p w14:paraId="2450E494" w14:textId="750A2FF4" w:rsidR="00B555F4" w:rsidRPr="00B555F4" w:rsidRDefault="00B555F4">
      <w:pPr>
        <w:pStyle w:val="a8"/>
        <w:rPr>
          <w:rFonts w:ascii="Times New Roman" w:hAnsi="Times New Roman" w:cs="Times New Roman"/>
        </w:rPr>
      </w:pPr>
      <w:r w:rsidRPr="00B555F4">
        <w:rPr>
          <w:rStyle w:val="aa"/>
          <w:rFonts w:ascii="Times New Roman" w:hAnsi="Times New Roman" w:cs="Times New Roman"/>
        </w:rPr>
        <w:footnoteRef/>
      </w:r>
      <w:r w:rsidRPr="00B555F4">
        <w:rPr>
          <w:rFonts w:ascii="Times New Roman" w:hAnsi="Times New Roman" w:cs="Times New Roman"/>
        </w:rPr>
        <w:t xml:space="preserve"> </w:t>
      </w:r>
      <w:r w:rsidRPr="00B555F4">
        <w:rPr>
          <w:rFonts w:ascii="Times New Roman" w:hAnsi="Times New Roman" w:cs="Times New Roman"/>
        </w:rPr>
        <w:t>同前註，頁</w:t>
      </w:r>
      <w:r w:rsidRPr="00B555F4">
        <w:rPr>
          <w:rFonts w:ascii="Times New Roman" w:hAnsi="Times New Roman" w:cs="Times New Roman"/>
        </w:rPr>
        <w:t>97</w:t>
      </w:r>
      <w:r w:rsidRPr="00B555F4">
        <w:rPr>
          <w:rFonts w:ascii="Times New Roman" w:hAnsi="Times New Roman" w:cs="Times New Roman"/>
        </w:rPr>
        <w:t>。</w:t>
      </w:r>
    </w:p>
  </w:footnote>
  <w:footnote w:id="6">
    <w:p w14:paraId="7BEDAC4A" w14:textId="3CE26974" w:rsidR="00B555F4" w:rsidRPr="00B555F4" w:rsidRDefault="00B555F4">
      <w:pPr>
        <w:pStyle w:val="a8"/>
        <w:rPr>
          <w:rFonts w:ascii="Times New Roman" w:hAnsi="Times New Roman" w:cs="Times New Roman"/>
        </w:rPr>
      </w:pPr>
      <w:r w:rsidRPr="00B555F4">
        <w:rPr>
          <w:rStyle w:val="aa"/>
          <w:rFonts w:ascii="Times New Roman" w:hAnsi="Times New Roman" w:cs="Times New Roman"/>
        </w:rPr>
        <w:footnoteRef/>
      </w:r>
      <w:r w:rsidRPr="00B555F4">
        <w:rPr>
          <w:rFonts w:ascii="Times New Roman" w:hAnsi="Times New Roman" w:cs="Times New Roman"/>
        </w:rPr>
        <w:t xml:space="preserve"> </w:t>
      </w:r>
      <w:r w:rsidRPr="00B555F4">
        <w:rPr>
          <w:rFonts w:ascii="Times New Roman" w:hAnsi="Times New Roman" w:cs="Times New Roman"/>
        </w:rPr>
        <w:t>同前註，頁</w:t>
      </w:r>
      <w:r w:rsidRPr="00B555F4">
        <w:rPr>
          <w:rFonts w:ascii="Times New Roman" w:hAnsi="Times New Roman" w:cs="Times New Roman"/>
        </w:rPr>
        <w:t>97</w:t>
      </w:r>
      <w:r w:rsidRPr="00B555F4">
        <w:rPr>
          <w:rFonts w:ascii="Times New Roman" w:hAnsi="Times New Roman" w:cs="Times New Roman"/>
        </w:rPr>
        <w:t>。</w:t>
      </w:r>
    </w:p>
  </w:footnote>
  <w:footnote w:id="7">
    <w:p w14:paraId="2975762B" w14:textId="30325757" w:rsidR="00B555F4" w:rsidRPr="00B555F4" w:rsidRDefault="00B555F4">
      <w:pPr>
        <w:pStyle w:val="a8"/>
        <w:rPr>
          <w:rFonts w:ascii="Times New Roman" w:hAnsi="Times New Roman" w:cs="Times New Roman"/>
        </w:rPr>
      </w:pPr>
      <w:r w:rsidRPr="00B555F4">
        <w:rPr>
          <w:rStyle w:val="aa"/>
          <w:rFonts w:ascii="Times New Roman" w:hAnsi="Times New Roman" w:cs="Times New Roman"/>
        </w:rPr>
        <w:footnoteRef/>
      </w:r>
      <w:r w:rsidRPr="00B555F4">
        <w:rPr>
          <w:rFonts w:ascii="Times New Roman" w:hAnsi="Times New Roman" w:cs="Times New Roman"/>
        </w:rPr>
        <w:t xml:space="preserve"> </w:t>
      </w:r>
      <w:r w:rsidRPr="00B555F4">
        <w:rPr>
          <w:rFonts w:ascii="Times New Roman" w:hAnsi="Times New Roman" w:cs="Times New Roman"/>
        </w:rPr>
        <w:t>對於上述三種學說之反省，其本質問題在於故意責任的成立究是以何種認識為前提，且故意是已知與欲所組成，為何在錯誤評價的討論中，欲這個要素可以完全忽略。應回歸故意理論、錯誤理論的檢討。</w:t>
      </w:r>
    </w:p>
  </w:footnote>
  <w:footnote w:id="8">
    <w:p w14:paraId="02A77D78" w14:textId="4CC5397D" w:rsidR="00B555F4" w:rsidRPr="00B555F4" w:rsidRDefault="00B555F4">
      <w:pPr>
        <w:pStyle w:val="a8"/>
        <w:rPr>
          <w:rFonts w:ascii="Times New Roman" w:hAnsi="Times New Roman" w:cs="Times New Roman"/>
        </w:rPr>
      </w:pPr>
      <w:r w:rsidRPr="00B555F4">
        <w:rPr>
          <w:rStyle w:val="aa"/>
          <w:rFonts w:ascii="Times New Roman" w:hAnsi="Times New Roman" w:cs="Times New Roman"/>
        </w:rPr>
        <w:footnoteRef/>
      </w:r>
      <w:r w:rsidRPr="00B555F4">
        <w:rPr>
          <w:rFonts w:ascii="Times New Roman" w:hAnsi="Times New Roman" w:cs="Times New Roman"/>
        </w:rPr>
        <w:t xml:space="preserve"> </w:t>
      </w:r>
      <w:r w:rsidRPr="00B555F4">
        <w:rPr>
          <w:rFonts w:ascii="Times New Roman" w:hAnsi="Times New Roman" w:cs="Times New Roman"/>
        </w:rPr>
        <w:t>心理學式故意概念，將認識預設為意欲要素存在的前提，一旦事實與</w:t>
      </w:r>
      <w:r>
        <w:rPr>
          <w:rFonts w:ascii="Times New Roman" w:hAnsi="Times New Roman" w:cs="Times New Roman" w:hint="eastAsia"/>
        </w:rPr>
        <w:t>行為人</w:t>
      </w:r>
      <w:r w:rsidRPr="00B555F4">
        <w:rPr>
          <w:rFonts w:ascii="Times New Roman" w:hAnsi="Times New Roman" w:cs="Times New Roman"/>
        </w:rPr>
        <w:t>認知發生不一致，意欲要素及不存在，而阻卻故意，惟通說並非如此，而是另尋找規範性標準判斷錯誤是否具重要性，而此將導致故意與錯誤這一體兩面之概念適用不同之標準，導致論理的不一致，且此故意之內涵也與生活事實不符，應而需重新建立規範性故意之內涵。</w:t>
      </w:r>
    </w:p>
  </w:footnote>
  <w:footnote w:id="9">
    <w:p w14:paraId="0546825D" w14:textId="66BDA1EC" w:rsidR="00B555F4" w:rsidRDefault="00B555F4">
      <w:pPr>
        <w:pStyle w:val="a8"/>
      </w:pPr>
      <w:r>
        <w:rPr>
          <w:rStyle w:val="aa"/>
        </w:rPr>
        <w:footnoteRef/>
      </w:r>
      <w:r>
        <w:t xml:space="preserve"> </w:t>
      </w:r>
      <w:r w:rsidRPr="00B555F4">
        <w:rPr>
          <w:rFonts w:ascii="Times New Roman" w:hAnsi="Times New Roman" w:cs="Times New Roman"/>
        </w:rPr>
        <w:t>同註</w:t>
      </w:r>
      <w:r>
        <w:rPr>
          <w:rFonts w:ascii="Times New Roman" w:hAnsi="Times New Roman" w:cs="Times New Roman" w:hint="eastAsia"/>
        </w:rPr>
        <w:t>一</w:t>
      </w:r>
      <w:r w:rsidRPr="00B555F4">
        <w:rPr>
          <w:rFonts w:ascii="Times New Roman" w:hAnsi="Times New Roman" w:cs="Times New Roman"/>
        </w:rPr>
        <w:t>，頁</w:t>
      </w:r>
      <w:r>
        <w:rPr>
          <w:rFonts w:ascii="Times New Roman" w:hAnsi="Times New Roman" w:cs="Times New Roman"/>
        </w:rPr>
        <w:t>106-107</w:t>
      </w:r>
      <w:r w:rsidRPr="00B555F4">
        <w:rPr>
          <w:rFonts w:ascii="Times New Roman" w:hAnsi="Times New Roman" w:cs="Times New Roman"/>
        </w:rPr>
        <w:t>。</w:t>
      </w:r>
    </w:p>
  </w:footnote>
  <w:footnote w:id="10">
    <w:p w14:paraId="6EA530A8" w14:textId="09B508F3" w:rsidR="00B555F4" w:rsidRDefault="00B555F4">
      <w:pPr>
        <w:pStyle w:val="a8"/>
      </w:pPr>
      <w:r>
        <w:rPr>
          <w:rStyle w:val="aa"/>
        </w:rPr>
        <w:footnoteRef/>
      </w:r>
      <w:r>
        <w:t xml:space="preserve"> </w:t>
      </w:r>
      <w:r w:rsidRPr="00B555F4">
        <w:rPr>
          <w:rFonts w:ascii="Times New Roman" w:hAnsi="Times New Roman" w:cs="Times New Roman"/>
        </w:rPr>
        <w:t>同前註，頁</w:t>
      </w:r>
      <w:r>
        <w:rPr>
          <w:rFonts w:ascii="Times New Roman" w:hAnsi="Times New Roman" w:cs="Times New Roman"/>
        </w:rPr>
        <w:t>108-109</w:t>
      </w:r>
      <w:r w:rsidRPr="00B555F4">
        <w:rPr>
          <w:rFonts w:ascii="Times New Roman" w:hAnsi="Times New Roman" w:cs="Times New Roman"/>
        </w:rPr>
        <w:t>。</w:t>
      </w:r>
    </w:p>
  </w:footnote>
  <w:footnote w:id="11">
    <w:p w14:paraId="460DD157" w14:textId="52CE52B8" w:rsidR="00B555F4" w:rsidRPr="00B555F4" w:rsidRDefault="00B555F4">
      <w:pPr>
        <w:pStyle w:val="a8"/>
      </w:pPr>
      <w:r>
        <w:rPr>
          <w:rStyle w:val="aa"/>
        </w:rPr>
        <w:footnoteRef/>
      </w:r>
      <w:r>
        <w:t xml:space="preserve"> </w:t>
      </w:r>
      <w:r w:rsidRPr="00B555F4">
        <w:rPr>
          <w:rFonts w:ascii="Times New Roman" w:hAnsi="Times New Roman" w:cs="Times New Roman"/>
        </w:rPr>
        <w:t>同前註，頁</w:t>
      </w:r>
      <w:r>
        <w:rPr>
          <w:rFonts w:ascii="Times New Roman" w:hAnsi="Times New Roman" w:cs="Times New Roman"/>
        </w:rPr>
        <w:t>109-110</w:t>
      </w:r>
      <w:r w:rsidRPr="00B555F4">
        <w:rPr>
          <w:rFonts w:ascii="Times New Roman" w:hAnsi="Times New Roman" w:cs="Times New Roman"/>
        </w:rPr>
        <w:t>。</w:t>
      </w:r>
    </w:p>
  </w:footnote>
  <w:footnote w:id="12">
    <w:p w14:paraId="30DF4422" w14:textId="739B33DC" w:rsidR="00B555F4" w:rsidRDefault="00B555F4">
      <w:pPr>
        <w:pStyle w:val="a8"/>
      </w:pPr>
      <w:r>
        <w:rPr>
          <w:rStyle w:val="aa"/>
        </w:rPr>
        <w:footnoteRef/>
      </w:r>
      <w:r>
        <w:t xml:space="preserve"> </w:t>
      </w:r>
      <w:r>
        <w:rPr>
          <w:rFonts w:hint="eastAsia"/>
        </w:rPr>
        <w:t>林鈺雄，新刑法總則，</w:t>
      </w:r>
      <w:r w:rsidR="0087230E">
        <w:rPr>
          <w:rFonts w:hint="eastAsia"/>
        </w:rPr>
        <w:t>元照，頁</w:t>
      </w:r>
      <w:r w:rsidR="0087230E">
        <w:t>156</w:t>
      </w:r>
      <w:r w:rsidR="0087230E">
        <w:rPr>
          <w:rFonts w:hint="eastAsia"/>
        </w:rPr>
        <w:t>，</w:t>
      </w:r>
      <w:r w:rsidR="001F74D0">
        <w:t>2022</w:t>
      </w:r>
      <w:r w:rsidR="0087230E">
        <w:rPr>
          <w:rFonts w:hint="eastAsia"/>
        </w:rPr>
        <w:t>年</w:t>
      </w:r>
      <w:r w:rsidR="0087230E">
        <w:rPr>
          <w:rFonts w:hint="eastAsia"/>
        </w:rPr>
        <w:t>9</w:t>
      </w:r>
      <w:r w:rsidR="0087230E">
        <w:rPr>
          <w:rFonts w:hint="eastAsia"/>
        </w:rPr>
        <w:t>月</w:t>
      </w:r>
      <w:r w:rsidR="001F74D0">
        <w:t>10</w:t>
      </w:r>
      <w:r w:rsidR="0087230E">
        <w:rPr>
          <w:rFonts w:hint="eastAsia"/>
        </w:rPr>
        <w:t>版。</w:t>
      </w:r>
    </w:p>
  </w:footnote>
  <w:footnote w:id="13">
    <w:p w14:paraId="5FA411EC" w14:textId="34BAAFDB" w:rsidR="00B555F4" w:rsidRDefault="00B555F4">
      <w:pPr>
        <w:pStyle w:val="a8"/>
      </w:pPr>
      <w:r>
        <w:rPr>
          <w:rStyle w:val="aa"/>
        </w:rPr>
        <w:footnoteRef/>
      </w:r>
      <w:r>
        <w:t xml:space="preserve"> </w:t>
      </w:r>
      <w:r w:rsidRPr="00B555F4">
        <w:rPr>
          <w:rFonts w:ascii="Times New Roman" w:hAnsi="Times New Roman" w:cs="Times New Roman"/>
        </w:rPr>
        <w:t>同前註，頁</w:t>
      </w:r>
      <w:r w:rsidR="0087230E">
        <w:rPr>
          <w:rFonts w:ascii="Times New Roman" w:hAnsi="Times New Roman" w:cs="Times New Roman"/>
        </w:rPr>
        <w:t>162-17</w:t>
      </w:r>
      <w:r w:rsidR="001F74D0">
        <w:rPr>
          <w:rFonts w:ascii="Times New Roman" w:hAnsi="Times New Roman" w:cs="Times New Roman"/>
        </w:rPr>
        <w:t>4</w:t>
      </w:r>
      <w:r w:rsidRPr="00B555F4">
        <w:rPr>
          <w:rFonts w:ascii="Times New Roman" w:hAnsi="Times New Roman" w:cs="Times New Roman" w:hint="eastAsia"/>
        </w:rPr>
        <w:t>。</w:t>
      </w:r>
    </w:p>
  </w:footnote>
  <w:footnote w:id="14">
    <w:p w14:paraId="22E90217" w14:textId="6001DEA1" w:rsidR="0087230E" w:rsidRPr="0087230E" w:rsidRDefault="0087230E">
      <w:pPr>
        <w:pStyle w:val="a8"/>
        <w:rPr>
          <w:rFonts w:ascii="Times New Roman" w:hAnsi="Times New Roman" w:cs="Times New Roman"/>
        </w:rPr>
      </w:pPr>
      <w:r w:rsidRPr="0087230E">
        <w:rPr>
          <w:rStyle w:val="aa"/>
          <w:rFonts w:ascii="Times New Roman" w:hAnsi="Times New Roman" w:cs="Times New Roman"/>
        </w:rPr>
        <w:footnoteRef/>
      </w:r>
      <w:r w:rsidRPr="0087230E">
        <w:rPr>
          <w:rFonts w:ascii="Times New Roman" w:hAnsi="Times New Roman" w:cs="Times New Roman"/>
        </w:rPr>
        <w:t xml:space="preserve"> </w:t>
      </w:r>
      <w:r w:rsidRPr="0087230E">
        <w:rPr>
          <w:rFonts w:ascii="Times New Roman" w:hAnsi="Times New Roman" w:cs="Times New Roman"/>
        </w:rPr>
        <w:t>湯恩魁，一失足成千古恨</w:t>
      </w:r>
      <w:r w:rsidRPr="0087230E">
        <w:rPr>
          <w:rFonts w:ascii="Times New Roman" w:hAnsi="Times New Roman" w:cs="Times New Roman"/>
        </w:rPr>
        <w:t>---</w:t>
      </w:r>
      <w:r w:rsidRPr="0087230E">
        <w:rPr>
          <w:rFonts w:ascii="Times New Roman" w:hAnsi="Times New Roman" w:cs="Times New Roman"/>
        </w:rPr>
        <w:t>上消化道之腐蝕性傷害，高雄榮民總醫院胸腔外科，</w:t>
      </w:r>
      <w:r w:rsidRPr="0087230E">
        <w:rPr>
          <w:rFonts w:ascii="Times New Roman" w:hAnsi="Times New Roman" w:cs="Times New Roman"/>
        </w:rPr>
        <w:t>1</w:t>
      </w:r>
      <w:r w:rsidRPr="0087230E">
        <w:rPr>
          <w:rFonts w:ascii="Times New Roman" w:hAnsi="Times New Roman" w:cs="Times New Roman"/>
        </w:rPr>
        <w:t>，</w:t>
      </w:r>
      <w:hyperlink r:id="rId1" w:history="1">
        <w:r w:rsidRPr="0087230E">
          <w:rPr>
            <w:rStyle w:val="ab"/>
            <w:rFonts w:ascii="Times New Roman" w:hAnsi="Times New Roman" w:cs="Times New Roman"/>
            <w:color w:val="000000" w:themeColor="text1"/>
            <w:u w:val="none"/>
          </w:rPr>
          <w:t>https://org.vghks.gov.tw/cs/News_Content.aspx?n=9421B8044F817E10&amp;sms=85E937390616C426&amp;s=9872CFF90928981C</w:t>
        </w:r>
        <w:r w:rsidRPr="0087230E">
          <w:rPr>
            <w:rStyle w:val="ab"/>
            <w:rFonts w:ascii="Times New Roman" w:hAnsi="Times New Roman" w:cs="Times New Roman" w:hint="eastAsia"/>
            <w:color w:val="000000" w:themeColor="text1"/>
            <w:u w:val="none"/>
          </w:rPr>
          <w:t>（最後瀏覽日：</w:t>
        </w:r>
        <w:r w:rsidRPr="0087230E">
          <w:rPr>
            <w:rStyle w:val="ab"/>
            <w:rFonts w:ascii="Times New Roman" w:hAnsi="Times New Roman" w:cs="Times New Roman" w:hint="eastAsia"/>
            <w:color w:val="000000" w:themeColor="text1"/>
            <w:u w:val="none"/>
          </w:rPr>
          <w:t>2</w:t>
        </w:r>
        <w:r w:rsidRPr="0087230E">
          <w:rPr>
            <w:rStyle w:val="ab"/>
            <w:rFonts w:ascii="Times New Roman" w:hAnsi="Times New Roman" w:cs="Times New Roman"/>
            <w:color w:val="000000" w:themeColor="text1"/>
            <w:u w:val="none"/>
          </w:rPr>
          <w:t>024</w:t>
        </w:r>
      </w:hyperlink>
      <w:r w:rsidRPr="0087230E">
        <w:rPr>
          <w:rFonts w:ascii="Times New Roman" w:hAnsi="Times New Roman" w:cs="Times New Roman" w:hint="eastAsia"/>
          <w:color w:val="000000" w:themeColor="text1"/>
        </w:rPr>
        <w:t>年</w:t>
      </w:r>
      <w:r w:rsidRPr="0087230E">
        <w:rPr>
          <w:rFonts w:ascii="Times New Roman" w:hAnsi="Times New Roman" w:cs="Times New Roman"/>
          <w:color w:val="000000" w:themeColor="text1"/>
        </w:rPr>
        <w:t>4</w:t>
      </w:r>
      <w:r w:rsidRPr="0087230E">
        <w:rPr>
          <w:rFonts w:ascii="Times New Roman" w:hAnsi="Times New Roman" w:cs="Times New Roman" w:hint="eastAsia"/>
          <w:color w:val="000000" w:themeColor="text1"/>
        </w:rPr>
        <w:t>月</w:t>
      </w:r>
      <w:r w:rsidRPr="0087230E">
        <w:rPr>
          <w:rFonts w:ascii="Times New Roman" w:hAnsi="Times New Roman" w:cs="Times New Roman" w:hint="eastAsia"/>
          <w:color w:val="000000" w:themeColor="text1"/>
        </w:rPr>
        <w:t>2</w:t>
      </w:r>
      <w:r w:rsidRPr="0087230E">
        <w:rPr>
          <w:rFonts w:ascii="Times New Roman" w:hAnsi="Times New Roman" w:cs="Times New Roman"/>
          <w:color w:val="000000" w:themeColor="text1"/>
        </w:rPr>
        <w:t>8</w:t>
      </w:r>
      <w:r w:rsidRPr="0087230E">
        <w:rPr>
          <w:rFonts w:ascii="Times New Roman" w:hAnsi="Times New Roman" w:cs="Times New Roman" w:hint="eastAsia"/>
          <w:color w:val="000000" w:themeColor="text1"/>
        </w:rPr>
        <w:t>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55E1B"/>
    <w:multiLevelType w:val="hybridMultilevel"/>
    <w:tmpl w:val="C390E37E"/>
    <w:lvl w:ilvl="0" w:tplc="901634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5757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FF"/>
    <w:rsid w:val="001F74D0"/>
    <w:rsid w:val="00303D02"/>
    <w:rsid w:val="0087230E"/>
    <w:rsid w:val="00A32517"/>
    <w:rsid w:val="00AB51AC"/>
    <w:rsid w:val="00B555F4"/>
    <w:rsid w:val="00B86F61"/>
    <w:rsid w:val="00C9449A"/>
    <w:rsid w:val="00D73BFF"/>
    <w:rsid w:val="00F06D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4C570C3"/>
  <w15:chartTrackingRefBased/>
  <w15:docId w15:val="{A66BEA98-4D6E-404A-B479-63EAF194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73BFF"/>
    <w:pPr>
      <w:widowControl/>
      <w:spacing w:before="100" w:beforeAutospacing="1" w:after="100" w:afterAutospacing="1"/>
    </w:pPr>
    <w:rPr>
      <w:rFonts w:ascii="新細明體" w:eastAsia="新細明體" w:hAnsi="新細明體" w:cs="新細明體"/>
      <w:kern w:val="0"/>
      <w14:ligatures w14:val="none"/>
    </w:rPr>
  </w:style>
  <w:style w:type="character" w:styleId="a3">
    <w:name w:val="annotation reference"/>
    <w:basedOn w:val="a0"/>
    <w:uiPriority w:val="99"/>
    <w:semiHidden/>
    <w:unhideWhenUsed/>
    <w:rsid w:val="00B555F4"/>
    <w:rPr>
      <w:sz w:val="18"/>
      <w:szCs w:val="18"/>
    </w:rPr>
  </w:style>
  <w:style w:type="paragraph" w:styleId="a4">
    <w:name w:val="annotation text"/>
    <w:basedOn w:val="a"/>
    <w:link w:val="a5"/>
    <w:uiPriority w:val="99"/>
    <w:semiHidden/>
    <w:unhideWhenUsed/>
    <w:rsid w:val="00B555F4"/>
  </w:style>
  <w:style w:type="character" w:customStyle="1" w:styleId="a5">
    <w:name w:val="註解文字 字元"/>
    <w:basedOn w:val="a0"/>
    <w:link w:val="a4"/>
    <w:uiPriority w:val="99"/>
    <w:semiHidden/>
    <w:rsid w:val="00B555F4"/>
  </w:style>
  <w:style w:type="paragraph" w:styleId="a6">
    <w:name w:val="annotation subject"/>
    <w:basedOn w:val="a4"/>
    <w:next w:val="a4"/>
    <w:link w:val="a7"/>
    <w:uiPriority w:val="99"/>
    <w:semiHidden/>
    <w:unhideWhenUsed/>
    <w:rsid w:val="00B555F4"/>
    <w:rPr>
      <w:b/>
      <w:bCs/>
    </w:rPr>
  </w:style>
  <w:style w:type="character" w:customStyle="1" w:styleId="a7">
    <w:name w:val="註解主旨 字元"/>
    <w:basedOn w:val="a5"/>
    <w:link w:val="a6"/>
    <w:uiPriority w:val="99"/>
    <w:semiHidden/>
    <w:rsid w:val="00B555F4"/>
    <w:rPr>
      <w:b/>
      <w:bCs/>
    </w:rPr>
  </w:style>
  <w:style w:type="paragraph" w:styleId="a8">
    <w:name w:val="footnote text"/>
    <w:basedOn w:val="a"/>
    <w:link w:val="a9"/>
    <w:uiPriority w:val="99"/>
    <w:semiHidden/>
    <w:unhideWhenUsed/>
    <w:rsid w:val="00B555F4"/>
    <w:pPr>
      <w:snapToGrid w:val="0"/>
    </w:pPr>
    <w:rPr>
      <w:sz w:val="20"/>
      <w:szCs w:val="20"/>
    </w:rPr>
  </w:style>
  <w:style w:type="character" w:customStyle="1" w:styleId="a9">
    <w:name w:val="註腳文字 字元"/>
    <w:basedOn w:val="a0"/>
    <w:link w:val="a8"/>
    <w:uiPriority w:val="99"/>
    <w:semiHidden/>
    <w:rsid w:val="00B555F4"/>
    <w:rPr>
      <w:sz w:val="20"/>
      <w:szCs w:val="20"/>
    </w:rPr>
  </w:style>
  <w:style w:type="character" w:styleId="aa">
    <w:name w:val="footnote reference"/>
    <w:basedOn w:val="a0"/>
    <w:uiPriority w:val="99"/>
    <w:semiHidden/>
    <w:unhideWhenUsed/>
    <w:rsid w:val="00B555F4"/>
    <w:rPr>
      <w:vertAlign w:val="superscript"/>
    </w:rPr>
  </w:style>
  <w:style w:type="character" w:styleId="ab">
    <w:name w:val="Hyperlink"/>
    <w:basedOn w:val="a0"/>
    <w:uiPriority w:val="99"/>
    <w:unhideWhenUsed/>
    <w:rsid w:val="0087230E"/>
    <w:rPr>
      <w:color w:val="0563C1" w:themeColor="hyperlink"/>
      <w:u w:val="single"/>
    </w:rPr>
  </w:style>
  <w:style w:type="character" w:styleId="ac">
    <w:name w:val="Unresolved Mention"/>
    <w:basedOn w:val="a0"/>
    <w:uiPriority w:val="99"/>
    <w:semiHidden/>
    <w:unhideWhenUsed/>
    <w:rsid w:val="00872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37847">
      <w:bodyDiv w:val="1"/>
      <w:marLeft w:val="0"/>
      <w:marRight w:val="0"/>
      <w:marTop w:val="0"/>
      <w:marBottom w:val="0"/>
      <w:divBdr>
        <w:top w:val="none" w:sz="0" w:space="0" w:color="auto"/>
        <w:left w:val="none" w:sz="0" w:space="0" w:color="auto"/>
        <w:bottom w:val="none" w:sz="0" w:space="0" w:color="auto"/>
        <w:right w:val="none" w:sz="0" w:space="0" w:color="auto"/>
      </w:divBdr>
      <w:divsChild>
        <w:div w:id="550187473">
          <w:marLeft w:val="0"/>
          <w:marRight w:val="0"/>
          <w:marTop w:val="0"/>
          <w:marBottom w:val="0"/>
          <w:divBdr>
            <w:top w:val="none" w:sz="0" w:space="0" w:color="auto"/>
            <w:left w:val="none" w:sz="0" w:space="0" w:color="auto"/>
            <w:bottom w:val="none" w:sz="0" w:space="0" w:color="auto"/>
            <w:right w:val="none" w:sz="0" w:space="0" w:color="auto"/>
          </w:divBdr>
          <w:divsChild>
            <w:div w:id="1749421061">
              <w:marLeft w:val="0"/>
              <w:marRight w:val="0"/>
              <w:marTop w:val="0"/>
              <w:marBottom w:val="0"/>
              <w:divBdr>
                <w:top w:val="none" w:sz="0" w:space="0" w:color="auto"/>
                <w:left w:val="none" w:sz="0" w:space="0" w:color="auto"/>
                <w:bottom w:val="none" w:sz="0" w:space="0" w:color="auto"/>
                <w:right w:val="none" w:sz="0" w:space="0" w:color="auto"/>
              </w:divBdr>
              <w:divsChild>
                <w:div w:id="15950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01726">
      <w:bodyDiv w:val="1"/>
      <w:marLeft w:val="0"/>
      <w:marRight w:val="0"/>
      <w:marTop w:val="0"/>
      <w:marBottom w:val="0"/>
      <w:divBdr>
        <w:top w:val="none" w:sz="0" w:space="0" w:color="auto"/>
        <w:left w:val="none" w:sz="0" w:space="0" w:color="auto"/>
        <w:bottom w:val="none" w:sz="0" w:space="0" w:color="auto"/>
        <w:right w:val="none" w:sz="0" w:space="0" w:color="auto"/>
      </w:divBdr>
      <w:divsChild>
        <w:div w:id="1033530140">
          <w:marLeft w:val="0"/>
          <w:marRight w:val="0"/>
          <w:marTop w:val="0"/>
          <w:marBottom w:val="0"/>
          <w:divBdr>
            <w:top w:val="none" w:sz="0" w:space="0" w:color="auto"/>
            <w:left w:val="none" w:sz="0" w:space="0" w:color="auto"/>
            <w:bottom w:val="none" w:sz="0" w:space="0" w:color="auto"/>
            <w:right w:val="none" w:sz="0" w:space="0" w:color="auto"/>
          </w:divBdr>
          <w:divsChild>
            <w:div w:id="181237990">
              <w:marLeft w:val="0"/>
              <w:marRight w:val="0"/>
              <w:marTop w:val="0"/>
              <w:marBottom w:val="0"/>
              <w:divBdr>
                <w:top w:val="none" w:sz="0" w:space="0" w:color="auto"/>
                <w:left w:val="none" w:sz="0" w:space="0" w:color="auto"/>
                <w:bottom w:val="none" w:sz="0" w:space="0" w:color="auto"/>
                <w:right w:val="none" w:sz="0" w:space="0" w:color="auto"/>
              </w:divBdr>
              <w:divsChild>
                <w:div w:id="13455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1647">
      <w:bodyDiv w:val="1"/>
      <w:marLeft w:val="0"/>
      <w:marRight w:val="0"/>
      <w:marTop w:val="0"/>
      <w:marBottom w:val="0"/>
      <w:divBdr>
        <w:top w:val="none" w:sz="0" w:space="0" w:color="auto"/>
        <w:left w:val="none" w:sz="0" w:space="0" w:color="auto"/>
        <w:bottom w:val="none" w:sz="0" w:space="0" w:color="auto"/>
        <w:right w:val="none" w:sz="0" w:space="0" w:color="auto"/>
      </w:divBdr>
      <w:divsChild>
        <w:div w:id="1802991966">
          <w:marLeft w:val="0"/>
          <w:marRight w:val="0"/>
          <w:marTop w:val="0"/>
          <w:marBottom w:val="0"/>
          <w:divBdr>
            <w:top w:val="none" w:sz="0" w:space="0" w:color="auto"/>
            <w:left w:val="none" w:sz="0" w:space="0" w:color="auto"/>
            <w:bottom w:val="none" w:sz="0" w:space="0" w:color="auto"/>
            <w:right w:val="none" w:sz="0" w:space="0" w:color="auto"/>
          </w:divBdr>
          <w:divsChild>
            <w:div w:id="2041852380">
              <w:marLeft w:val="0"/>
              <w:marRight w:val="0"/>
              <w:marTop w:val="0"/>
              <w:marBottom w:val="0"/>
              <w:divBdr>
                <w:top w:val="none" w:sz="0" w:space="0" w:color="auto"/>
                <w:left w:val="none" w:sz="0" w:space="0" w:color="auto"/>
                <w:bottom w:val="none" w:sz="0" w:space="0" w:color="auto"/>
                <w:right w:val="none" w:sz="0" w:space="0" w:color="auto"/>
              </w:divBdr>
              <w:divsChild>
                <w:div w:id="13539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0180">
      <w:bodyDiv w:val="1"/>
      <w:marLeft w:val="0"/>
      <w:marRight w:val="0"/>
      <w:marTop w:val="0"/>
      <w:marBottom w:val="0"/>
      <w:divBdr>
        <w:top w:val="none" w:sz="0" w:space="0" w:color="auto"/>
        <w:left w:val="none" w:sz="0" w:space="0" w:color="auto"/>
        <w:bottom w:val="none" w:sz="0" w:space="0" w:color="auto"/>
        <w:right w:val="none" w:sz="0" w:space="0" w:color="auto"/>
      </w:divBdr>
    </w:div>
    <w:div w:id="1375697766">
      <w:bodyDiv w:val="1"/>
      <w:marLeft w:val="0"/>
      <w:marRight w:val="0"/>
      <w:marTop w:val="0"/>
      <w:marBottom w:val="0"/>
      <w:divBdr>
        <w:top w:val="none" w:sz="0" w:space="0" w:color="auto"/>
        <w:left w:val="none" w:sz="0" w:space="0" w:color="auto"/>
        <w:bottom w:val="none" w:sz="0" w:space="0" w:color="auto"/>
        <w:right w:val="none" w:sz="0" w:space="0" w:color="auto"/>
      </w:divBdr>
      <w:divsChild>
        <w:div w:id="890850868">
          <w:marLeft w:val="0"/>
          <w:marRight w:val="0"/>
          <w:marTop w:val="0"/>
          <w:marBottom w:val="0"/>
          <w:divBdr>
            <w:top w:val="none" w:sz="0" w:space="0" w:color="auto"/>
            <w:left w:val="none" w:sz="0" w:space="0" w:color="auto"/>
            <w:bottom w:val="none" w:sz="0" w:space="0" w:color="auto"/>
            <w:right w:val="none" w:sz="0" w:space="0" w:color="auto"/>
          </w:divBdr>
          <w:divsChild>
            <w:div w:id="2044942650">
              <w:marLeft w:val="0"/>
              <w:marRight w:val="0"/>
              <w:marTop w:val="0"/>
              <w:marBottom w:val="0"/>
              <w:divBdr>
                <w:top w:val="none" w:sz="0" w:space="0" w:color="auto"/>
                <w:left w:val="none" w:sz="0" w:space="0" w:color="auto"/>
                <w:bottom w:val="none" w:sz="0" w:space="0" w:color="auto"/>
                <w:right w:val="none" w:sz="0" w:space="0" w:color="auto"/>
              </w:divBdr>
              <w:divsChild>
                <w:div w:id="10703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829655">
      <w:bodyDiv w:val="1"/>
      <w:marLeft w:val="0"/>
      <w:marRight w:val="0"/>
      <w:marTop w:val="0"/>
      <w:marBottom w:val="0"/>
      <w:divBdr>
        <w:top w:val="none" w:sz="0" w:space="0" w:color="auto"/>
        <w:left w:val="none" w:sz="0" w:space="0" w:color="auto"/>
        <w:bottom w:val="none" w:sz="0" w:space="0" w:color="auto"/>
        <w:right w:val="none" w:sz="0" w:space="0" w:color="auto"/>
      </w:divBdr>
    </w:div>
    <w:div w:id="1920872032">
      <w:bodyDiv w:val="1"/>
      <w:marLeft w:val="0"/>
      <w:marRight w:val="0"/>
      <w:marTop w:val="0"/>
      <w:marBottom w:val="0"/>
      <w:divBdr>
        <w:top w:val="none" w:sz="0" w:space="0" w:color="auto"/>
        <w:left w:val="none" w:sz="0" w:space="0" w:color="auto"/>
        <w:bottom w:val="none" w:sz="0" w:space="0" w:color="auto"/>
        <w:right w:val="none" w:sz="0" w:space="0" w:color="auto"/>
      </w:divBdr>
    </w:div>
    <w:div w:id="193377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rg.vghks.gov.tw/cs/News_Content.aspx?n=9421B8044F817E10&amp;sms=85E937390616C426&amp;s=9872CFF90928981C&#65288;&#26368;&#24460;&#28687;&#35261;&#26085;&#65306;202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1ED69-0DAE-CA4F-8413-B836D25A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施奇瑋</dc:creator>
  <cp:keywords/>
  <dc:description/>
  <cp:lastModifiedBy>施奇瑋</cp:lastModifiedBy>
  <cp:revision>4</cp:revision>
  <cp:lastPrinted>2024-04-28T06:30:00Z</cp:lastPrinted>
  <dcterms:created xsi:type="dcterms:W3CDTF">2024-04-28T06:30:00Z</dcterms:created>
  <dcterms:modified xsi:type="dcterms:W3CDTF">2024-04-28T13:33:00Z</dcterms:modified>
</cp:coreProperties>
</file>